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before="0"/>
      </w:pPr>
    </w:p>
    <w:p>
      <w:pPr>
        <w:spacing w:after="0" w:before="0"/>
      </w:pPr>
    </w:p>
    <w:p>
      <w:pPr>
        <w:spacing w:after="0" w:before="0"/>
      </w:pPr>
    </w:p>
    <w:p>
      <w:pPr>
        <w:spacing w:after="0" w:before="0"/>
      </w:pPr>
    </w:p>
    <w:p>
      <w:pPr>
        <w:jc w:val="center"/>
        <w:pBdr>
          <w:top w:val="single" w:sz="12" w:space="1" w:color="1B3A5C"/>
        </w:pBdr>
      </w:pPr>
    </w:p>
    <w:p>
      <w:pPr>
        <w:spacing w:before="360" w:after="120"/>
        <w:jc w:val="center"/>
      </w:pPr>
      <w:r>
        <w:rPr>
          <w:rFonts w:ascii="Liberation Sans" w:hAnsi="Liberation Sans" w:cs="Liberation Sans"/>
          <w:b/>
          <w:i w:val="0"/>
          <w:color w:val="1B3A5C"/>
          <w:sz w:val="22"/>
        </w:rPr>
        <w:t>ARTICLE ANALYTIQUE</w:t>
      </w:r>
    </w:p>
    <w:p>
      <w:pPr>
        <w:spacing w:before="240" w:after="160" w:line="240" w:lineRule="auto"/>
        <w:jc w:val="center"/>
      </w:pPr>
      <w:r>
        <w:rPr>
          <w:rFonts w:ascii="Liberation Sans" w:hAnsi="Liberation Sans" w:cs="Liberation Sans"/>
          <w:b/>
          <w:i w:val="0"/>
          <w:color w:val="1B3A5C"/>
          <w:sz w:val="40"/>
        </w:rPr>
        <w:t>Protocole Ankh AI et Encyclique Magnifica Humanitas :</w:t>
      </w:r>
    </w:p>
    <w:p>
      <w:pPr>
        <w:spacing w:before="0" w:after="360" w:line="240" w:lineRule="auto"/>
        <w:jc w:val="center"/>
      </w:pPr>
      <w:r>
        <w:rPr>
          <w:rFonts w:ascii="Liberation Sans" w:hAnsi="Liberation Sans" w:cs="Liberation Sans"/>
          <w:b/>
          <w:i w:val="0"/>
          <w:color w:val="1B3A5C"/>
          <w:sz w:val="36"/>
        </w:rPr>
        <w:t>Deux Approches Convergentes pour une Intelligence</w:t>
        <w:br/>
        <w:t>Artificielle au Service de l’Humanité</w:t>
      </w:r>
    </w:p>
    <w:p>
      <w:pPr>
        <w:jc w:val="center"/>
        <w:pBdr>
          <w:bottom w:val="single" w:sz="12" w:space="1" w:color="1B3A5C"/>
        </w:pBdr>
      </w:pPr>
    </w:p>
    <w:p>
      <w:pPr>
        <w:spacing w:before="360" w:after="600"/>
        <w:jc w:val="center"/>
      </w:pPr>
      <w:r>
        <w:rPr>
          <w:rFonts w:ascii="Liberation Serif" w:hAnsi="Liberation Serif" w:cs="Liberation Serif"/>
          <w:b w:val="0"/>
          <w:i/>
          <w:color w:val="666666"/>
          <w:sz w:val="26"/>
        </w:rPr>
        <w:t>Analyse Comparative d’un Cadre Technique Décentralisé</w:t>
        <w:br/>
        <w:t>et d’une Réflexion Éthique Magistérielle sur l’IA</w:t>
      </w:r>
    </w:p>
    <w:p>
      <w:pPr>
        <w:spacing w:after="80"/>
        <w:jc w:val="center"/>
      </w:pPr>
      <w:r>
        <w:rPr>
          <w:rFonts w:ascii="Liberation Sans" w:hAnsi="Liberation Sans" w:cs="Liberation Sans"/>
          <w:b/>
          <w:i w:val="0"/>
          <w:color w:val="333333"/>
          <w:sz w:val="26"/>
        </w:rPr>
        <w:t>Serge Destin TAMPOLLA</w:t>
      </w:r>
    </w:p>
    <w:p>
      <w:pPr>
        <w:spacing w:after="80"/>
        <w:jc w:val="center"/>
      </w:pPr>
      <w:r>
        <w:rPr>
          <w:rFonts w:ascii="Liberation Serif" w:hAnsi="Liberation Serif" w:cs="Liberation Serif"/>
          <w:b w:val="0"/>
          <w:i w:val="0"/>
          <w:color w:val="666666"/>
          <w:sz w:val="22"/>
        </w:rPr>
        <w:t>Conseiller 4IR</w:t>
      </w:r>
    </w:p>
    <w:p>
      <w:pPr>
        <w:spacing w:after="40"/>
        <w:jc w:val="center"/>
      </w:pPr>
      <w:r>
        <w:rPr>
          <w:rFonts w:ascii="Liberation Serif" w:hAnsi="Liberation Serif" w:cs="Liberation Serif"/>
          <w:b w:val="0"/>
          <w:i w:val="0"/>
          <w:color w:val="666666"/>
          <w:sz w:val="20"/>
        </w:rPr>
        <w:t>serge.destin@tampolla.com  |  www.tampolla.com</w:t>
      </w:r>
    </w:p>
    <w:p>
      <w:pPr>
        <w:spacing w:before="400"/>
        <w:jc w:val="center"/>
      </w:pPr>
      <w:r>
        <w:rPr>
          <w:rFonts w:ascii="Liberation Sans" w:hAnsi="Liberation Sans" w:cs="Liberation Sans"/>
          <w:b/>
          <w:i w:val="0"/>
          <w:color w:val="1B3A5C"/>
          <w:sz w:val="24"/>
        </w:rPr>
        <w:t>Mai 2026</w:t>
      </w:r>
    </w:p>
    <w:p>
      <w:r>
        <w:br w:type="page"/>
      </w:r>
    </w:p>
    <w:p>
      <w:pPr>
        <w:pStyle w:val="Heading1"/>
        <w:pBdr>
          <w:bottom w:val="single" w:sz="8" w:space="4" w:color="1B3A5C"/>
        </w:pBdr>
      </w:pPr>
      <w:r>
        <w:rPr>
          <w:rFonts w:ascii="Liberation Sans" w:hAnsi="Liberation Sans"/>
          <w:b/>
          <w:color w:val="1B3A5C"/>
        </w:rPr>
        <w:t>Introduction</w:t>
      </w:r>
    </w:p>
    <w:p>
      <w:pPr>
        <w:spacing w:line="360" w:lineRule="auto" w:after="120"/>
        <w:ind w:firstLine="425"/>
        <w:jc w:val="both"/>
      </w:pPr>
      <w:r>
        <w:rPr>
          <w:rFonts w:ascii="Liberation Serif" w:hAnsi="Liberation Serif" w:cs="Liberation Serif"/>
          <w:b w:val="0"/>
          <w:i w:val="0"/>
          <w:color w:val="333333"/>
          <w:sz w:val="24"/>
        </w:rPr>
        <w:t>L’intelligence artificielle constitue sans doute le défi technologique, éthique et politique le plus considérable du XXIe siècle. À mesure que les systèmes algorithmiques s’immiscent dans chaque dimension de la vie humaine — de la santé à l’éducation, de la justice à la création artistique, du travail à la gouvernance — la question de leur cadrage se pose avec une urgence inédite. Deux problèmes majeurs émergent avec une acuité particulière : d’une part, la concentration du pouvoir algorithmique entre les mains d’un nombre restreint d’acteurs privés ; d’autre part, l’absence d’un cadre éthique universel capable de garantir que ces technologies servent réellement le bien commun.</w:t>
      </w:r>
    </w:p>
    <w:p>
      <w:pPr>
        <w:spacing w:line="360" w:lineRule="auto" w:after="120"/>
        <w:ind w:firstLine="425"/>
        <w:jc w:val="both"/>
      </w:pPr>
      <w:r>
        <w:rPr>
          <w:rFonts w:ascii="Liberation Serif" w:hAnsi="Liberation Serif" w:cs="Liberation Serif"/>
          <w:b w:val="0"/>
          <w:i w:val="0"/>
          <w:color w:val="333333"/>
          <w:sz w:val="24"/>
        </w:rPr>
        <w:t>C’est dans ce contexte que deux documents fondamentaux ont vu le jour en 2026, chacun abordant la question de la gouvernance de l’IA sous un angle radicalement différent mais, comme nous le démontrerons, profondément complémentaire. Le premier, le Protocole Ankh AI, est un white paper technique rédigé par Serge Destin Tampolla, qui propose un cadre opérationnel pour une intelligence artificielle collaborative et décentralisée, fondé sur une architecture en quatre couches, des mécanismes de protection de la vie privée de pointe et une gouvernance participative de type DAO. Le second, l’encyclique Magnifica Humanitas du pape Léon XIV, est un document magistériel de cent trente-quatre pages qui offre une réflexion éthique, théologique et philosophique approfondie sur la place de la personne humaine dans l’ère de l’intelligence artificielle.</w:t>
      </w:r>
    </w:p>
    <w:p>
      <w:pPr>
        <w:spacing w:line="360" w:lineRule="auto" w:after="120"/>
        <w:ind w:firstLine="425"/>
        <w:jc w:val="both"/>
      </w:pPr>
      <w:r>
        <w:rPr>
          <w:rFonts w:ascii="Liberation Serif" w:hAnsi="Liberation Serif" w:cs="Liberation Serif"/>
          <w:b w:val="0"/>
          <w:i w:val="0"/>
          <w:color w:val="333333"/>
          <w:sz w:val="24"/>
        </w:rPr>
        <w:t>L’originalité de cette confrontation réside dans le fait qu’elle met en présence deux traditions intellectuelles rarement associées dans le débat public sur l’intelligence artificielle. D’un côté, l’écosystème de l’IA décentralisée, nourri par les idéaux du mouvement cypherpunk, de la science ouverte et de la blockchain, promeut une vision du monde où la technologie elle-même peut résoudre les problèmes de concentration et d’abus de pouvoir. De l’autre, la doctrine sociale de l’Église, forte d’une réflexion millénaire sur la justice, la dignité et le bien commun, apporte un regard critique et prophétique sur les dérapages possibles du progrès technique. Le croisement de ces deux perspectives est non seulement fécondant sur le plan intellectuel, mais il pourrait également dessiner les contours d’une governance de l’IA plus juste et plus efficace.</w:t>
      </w:r>
    </w:p>
    <w:p>
      <w:pPr>
        <w:spacing w:line="360" w:lineRule="auto" w:after="120"/>
        <w:ind w:firstLine="425"/>
        <w:jc w:val="both"/>
      </w:pPr>
      <w:r>
        <w:rPr>
          <w:rFonts w:ascii="Liberation Serif" w:hAnsi="Liberation Serif" w:cs="Liberation Serif"/>
          <w:b w:val="0"/>
          <w:i w:val="0"/>
          <w:color w:val="333333"/>
          <w:sz w:val="24"/>
        </w:rPr>
        <w:t>Malgré leurs origines intellectuelles distinctes — l’un émanant de l’ingénierie logicielle et des systèmes distribués, l’autre de la doctrine sociale catholique et de la théologie morale — ces deux textes convergent de manière frappante sur un certain nombre de principes fondamentaux : la décentralisation du pouvoir, la souveraineté des données, la transparence, la dignité humaine et l’accès équitable aux fruits du progrès technologique. Cette convergence n’est pas fortuite ; elle témoigne d’une prise de conscience transversale, au-delà des clivages disciplinaires, de la nécessité d’encadrer l’IA dans un esprit de service de l’humanité tout entière.</w:t>
      </w:r>
    </w:p>
    <w:p>
      <w:pPr>
        <w:spacing w:line="360" w:lineRule="auto" w:after="120"/>
        <w:ind w:firstLine="425"/>
        <w:jc w:val="both"/>
      </w:pPr>
      <w:r>
        <w:rPr>
          <w:rFonts w:ascii="Liberation Serif" w:hAnsi="Liberation Serif" w:cs="Liberation Serif"/>
          <w:b w:val="0"/>
          <w:i w:val="0"/>
          <w:color w:val="333333"/>
          <w:sz w:val="24"/>
        </w:rPr>
        <w:t>En outre, ces deux documents arrivent à un moment charnière de l’histoire technologique. Les débats autour de l’IA générative, de la surveillance de masse, de la manipulation algorithmique et des biais discriminatoires ont atteint une intensité sans précédent. Les initiatives réglementaires, telles que l’AI Act européen ou les executive orders américains sur la sécurité de l’IA, tentent de répondre à ces défis mais peinent à offrir un cadre à la fois universel et opérationnel. Dans ce paysage fragmenté, le protocole technique et l’encyclique proposent, chacun à leur manière, une vision globale et cohérente qui mérite une attention soutenue.</w:t>
      </w:r>
    </w:p>
    <w:p>
      <w:pPr>
        <w:spacing w:line="360" w:lineRule="auto" w:after="120"/>
        <w:ind w:firstLine="425"/>
        <w:jc w:val="both"/>
      </w:pPr>
      <w:r>
        <w:rPr>
          <w:rFonts w:ascii="Liberation Serif" w:hAnsi="Liberation Serif" w:cs="Liberation Serif"/>
          <w:b w:val="0"/>
          <w:i w:val="0"/>
          <w:color w:val="333333"/>
          <w:sz w:val="24"/>
        </w:rPr>
        <w:t>Le présent article propose une analyse comparative systématique de ces deux documents. Après une présentation synthétique de chacun (section 1), nous identifierons les axes de convergence entre le cadre technique et la réflexion éthique (section 2), avant d’examiner leurs divergences et complémentarités (section 3). Une évaluation critique de la force et des limites de chaque approche sera ensuite proposée (section 4), mettant en lumière la synergie potentielle entre architecture technique et vision éthique. Enfin, nous conclurons par des perspectives sur le dialogue nécessaire entre communautés techniques et morales (section 5).</w:t>
      </w:r>
    </w:p>
    <w:p>
      <w:pPr>
        <w:pStyle w:val="Heading1"/>
        <w:pBdr>
          <w:bottom w:val="single" w:sz="8" w:space="4" w:color="1B3A5C"/>
        </w:pBdr>
      </w:pPr>
      <w:r>
        <w:rPr>
          <w:rFonts w:ascii="Liberation Sans" w:hAnsi="Liberation Sans"/>
          <w:b/>
          <w:color w:val="1B3A5C"/>
        </w:rPr>
        <w:t>1. Présentation des Deux Documents</w:t>
      </w:r>
    </w:p>
    <w:p>
      <w:pPr>
        <w:pStyle w:val="Heading2"/>
      </w:pPr>
      <w:r>
        <w:rPr>
          <w:rFonts w:ascii="Liberation Sans" w:hAnsi="Liberation Sans"/>
          <w:b/>
          <w:color w:val="1B3A5C"/>
        </w:rPr>
        <w:t>1.1 Le Protocole Ankh AI</w:t>
      </w:r>
    </w:p>
    <w:p>
      <w:pPr>
        <w:spacing w:line="360" w:lineRule="auto" w:after="120"/>
        <w:ind w:firstLine="425"/>
        <w:jc w:val="both"/>
      </w:pPr>
      <w:r>
        <w:rPr>
          <w:rFonts w:ascii="Liberation Serif" w:hAnsi="Liberation Serif" w:cs="Liberation Serif"/>
          <w:b w:val="0"/>
          <w:i w:val="0"/>
          <w:color w:val="333333"/>
          <w:sz w:val="24"/>
        </w:rPr>
        <w:t>Le Protocole Ankh AI est un white paper technique rédigé par Serge Destin Tampolla, conseiller en intelligence artificielle et spécialiste de la quatrième révolution industrielle. Ce document propose un cadre architectural complet pour le déploiement d’une intelligence artificielle collaborative et décentralisée, conçu pour répondre aux défis majeurs posés par la centralisation actuelle des systèmes d’IA.</w:t>
      </w:r>
    </w:p>
    <w:p>
      <w:pPr>
        <w:spacing w:line="360" w:lineRule="auto" w:after="120"/>
        <w:ind w:firstLine="425"/>
        <w:jc w:val="both"/>
      </w:pPr>
      <w:r>
        <w:rPr>
          <w:rFonts w:ascii="Liberation Serif" w:hAnsi="Liberation Serif" w:cs="Liberation Serif"/>
          <w:b w:val="0"/>
          <w:i w:val="0"/>
          <w:color w:val="333333"/>
          <w:sz w:val="24"/>
        </w:rPr>
        <w:t>L’architecture du protocole repose sur quatre couches distinctes et interconnectées. La première couche, celle de Réseau, constitue l’infrastructure pair-à-pair (P2P) sur laquelle repose l’ensemble du système, éliminant tout point de défaillance unique et assurant la résilience du réseau. La deuxième couche, celle de Consensus, introduit un mécanisme original de Preuve d’Utilité Collaborative (PoUC) qui remplace les mécanismes traditionnels de preuve de travail ou de preuve d’enjeu. La troisième couche, celle d’Intelligence Collaborative, orchestre l’entraînement fédéré des modèles d’IA, permettant à des agents autonomes de contribuer collectivement à l’amélioration des performances du système. Enfin, la quatrième couche, celle d’Application, offre des interfaces pour le déploiement concret de solutions IA dans des contextes variés.</w:t>
      </w:r>
    </w:p>
    <w:p>
      <w:pPr>
        <w:spacing w:line="360" w:lineRule="auto" w:after="120"/>
        <w:ind w:firstLine="425"/>
        <w:jc w:val="both"/>
      </w:pPr>
      <w:r>
        <w:rPr>
          <w:rFonts w:ascii="Liberation Serif" w:hAnsi="Liberation Serif" w:cs="Liberation Serif"/>
          <w:b w:val="0"/>
          <w:i w:val="0"/>
          <w:color w:val="333333"/>
          <w:sz w:val="24"/>
        </w:rPr>
        <w:t>Le protocole intègre également des mécanismes avancés de protection de la vie privée, notamment la confidentialité différentielle (DP), le chiffrement homomorphe (HE) et le calcul multi-parties sécurisé (sMPC), garantissant que les données personnelles ne quittent jamais leur environnement local. La gouvernance du système est assurée par une Organisation Autonome Décentralisée (DAO), où chaque participant dispose d’un droit de vote proportionnel à sa contribution, conformément au principe de subsidiarité. Un système de réputation basé sur la qualité des contributions complète ce dispositif de gouvernance participative.</w:t>
      </w:r>
    </w:p>
    <w:p>
      <w:pPr>
        <w:spacing w:line="360" w:lineRule="auto" w:after="120"/>
        <w:ind w:firstLine="425"/>
        <w:jc w:val="both"/>
      </w:pPr>
      <w:r>
        <w:rPr>
          <w:rFonts w:ascii="Liberation Serif" w:hAnsi="Liberation Serif" w:cs="Liberation Serif"/>
          <w:b w:val="0"/>
          <w:i w:val="0"/>
          <w:color w:val="333333"/>
          <w:sz w:val="24"/>
        </w:rPr>
        <w:t>Il convient de souligner l’ambition transformatrice du Protocole Ankh AI. Il ne s’agit pas simplement d’améliorer les systèmes existants mais de proposer un paradigme alternatif radical, où l’intelligence artificielle est conçue comme un bien commun, co-construit par une multitude d’acteurs hétérogènes. Le protocole s’inscrit dans un mouvement plus large de décentralisation de l’IA, illustré par des initiatives comme ChainOpera AI, Flock.io ou les recherches de l’Institute for Decentralized AI, qui partagent toutes la conviction que l’avenir de l’intelligence artificielle ne peut se réduire à la domination de quelques géants technologiques. Le white paper de Tampolla se distingue néanmoins par la cohérence de son architecture et la richesse de ses mécanismes de gouvernance.</w:t>
      </w:r>
    </w:p>
    <w:p>
      <w:pPr>
        <w:spacing w:line="360" w:lineRule="auto" w:after="120"/>
        <w:ind w:firstLine="425"/>
        <w:jc w:val="both"/>
      </w:pPr>
      <w:r>
        <w:rPr>
          <w:rFonts w:ascii="Liberation Serif" w:hAnsi="Liberation Serif" w:cs="Liberation Serif"/>
          <w:b w:val="0"/>
          <w:i w:val="0"/>
          <w:color w:val="333333"/>
          <w:sz w:val="24"/>
        </w:rPr>
        <w:t>Sur le plan technique, le Protocole Ankh AI s'inscrit dans un courant de recherche tres actif. Les travaux de McMahan et al. (2017) sur l'apprentissage federé, ceux d'Abadi et al. (2016) sur la confidentialité différentielle, et les recherches de Harris et al. (2019) sur l'IA décentralisée sur blockchain constituent autant de fondations scientifiques sur lesquelles le protocole s'appuie. En ce sens, il represente non pas une innovation de rupture mais plutot une synthèse original et une intégration systematique de technologies existantes, orchestrées dans une architecture cohérente et dotée d'un modèle de gouvernance novateur.</w:t>
      </w:r>
    </w:p>
    <w:p>
      <w:pPr>
        <w:pStyle w:val="Heading2"/>
      </w:pPr>
      <w:r>
        <w:rPr>
          <w:rFonts w:ascii="Liberation Sans" w:hAnsi="Liberation Sans"/>
          <w:b/>
          <w:color w:val="1B3A5C"/>
        </w:rPr>
        <w:t>1.2 L’Encyclique Magnifica Humanitas</w:t>
      </w:r>
    </w:p>
    <w:p>
      <w:pPr>
        <w:spacing w:line="360" w:lineRule="auto" w:after="120"/>
        <w:ind w:firstLine="425"/>
        <w:jc w:val="both"/>
      </w:pPr>
      <w:r>
        <w:rPr>
          <w:rFonts w:ascii="Liberation Serif" w:hAnsi="Liberation Serif" w:cs="Liberation Serif"/>
          <w:b w:val="0"/>
          <w:i w:val="0"/>
          <w:color w:val="333333"/>
          <w:sz w:val="24"/>
        </w:rPr>
        <w:t>Publiée en mai 2026 par le pape Léon XIV, l’encyclique Magnifica Humanitas constitue le premier document magistériel entièrement consacré à la question de l’intelligence artificielle et de son impact sur la personne humaine. Ce texte de cent trente-quatre pages s’inscrit dans la lignée de la doctrine sociale de l’Église, dont il célèbre par ailleurs le cent trente-cinquième anniversaire de l’encyclique Rerum Novarum de Léon XIII (1891).</w:t>
      </w:r>
    </w:p>
    <w:p>
      <w:pPr>
        <w:spacing w:line="360" w:lineRule="auto" w:after="120"/>
        <w:ind w:firstLine="425"/>
        <w:jc w:val="both"/>
      </w:pPr>
      <w:r>
        <w:rPr>
          <w:rFonts w:ascii="Liberation Serif" w:hAnsi="Liberation Serif" w:cs="Liberation Serif"/>
          <w:b w:val="0"/>
          <w:i w:val="0"/>
          <w:color w:val="333333"/>
          <w:sz w:val="24"/>
        </w:rPr>
        <w:t>L’encyclique est structurée en cinq chapitres qui déploient une réflexion progressive sur les enjeux de l’IA. Le premier chapitre pose le cadre doctrinal en rappelant les principes fondamentaux de la doctrine sociale : bien commun, subsidiarité, solidarité, justice et destination universelle des biens. Le deuxième chapitre propose une critique poussée du paradigme technocratique, dénonçant la logique de puissance et de domination qui sous-tend trop souvent le développement technologique. Le troisième chapitre aborde la question anthropologique, réaffirmant la dignité ontologique de la personne humaine comme imago Dei et sa vocation transcendante. Le quatrième chapitre examine les implications concrètes pour la vérité, le travail et la paix, tandis que le cinquième et dernier chapitre offre une méditation sur la différence entre Babel et Jérusalem — entre la tour de l’orgueil technologique et la cité de la fraternité humaine.</w:t>
      </w:r>
    </w:p>
    <w:p>
      <w:pPr>
        <w:spacing w:line="360" w:lineRule="auto" w:after="120"/>
        <w:ind w:firstLine="425"/>
        <w:jc w:val="both"/>
      </w:pPr>
      <w:r>
        <w:rPr>
          <w:rFonts w:ascii="Liberation Serif" w:hAnsi="Liberation Serif" w:cs="Liberation Serif"/>
          <w:b w:val="0"/>
          <w:i w:val="0"/>
          <w:color w:val="333333"/>
          <w:sz w:val="24"/>
        </w:rPr>
        <w:t>L’un des apports les plus significatifs de l’encyclique est sa critique du transhumanisme et du posthumanisme, que le Saint-Père qualifie d’« illusion prométhéenne » (paragraphes 112-125). Le document appelle également à « désarmer l’IA », c’est-à-dire à soustraire les systèmes algorithmiques à la logique militaire et à les remettre au service de la paix et du développement humain intégral (paragraphes 105-110). Cette métaphorique du désarmement constitue l’une des formulations les plus frappantes du document.</w:t>
      </w:r>
    </w:p>
    <w:p>
      <w:pPr>
        <w:spacing w:line="360" w:lineRule="auto" w:after="120"/>
        <w:ind w:firstLine="425"/>
        <w:jc w:val="both"/>
      </w:pPr>
      <w:r>
        <w:rPr>
          <w:rFonts w:ascii="Liberation Serif" w:hAnsi="Liberation Serif" w:cs="Liberation Serif"/>
          <w:b w:val="0"/>
          <w:i w:val="0"/>
          <w:color w:val="333333"/>
          <w:sz w:val="24"/>
        </w:rPr>
        <w:t>L’impact de l’encyclique dépasse largement le cadre ecclésial. Depuis sa parution, le document a suscité un débat international nourri, relayé par des médias tels que CNET, Fast Company et Vatican News. Si certains acteurs du monde technologique ont accueilli favorablement ses principes, d’autres lui ont reproché son caractère idéaliste ou son insuffisante prise en compte des réalités économiques de l’industrie de l’IA. Quoi qu’il en soit, Magnifica Humanitas a réussi à imposer la question anthropologique au coeur du débat technologique, une réussite non négligeable dans un paysage souvent dominé par des considérations purement instrumentales.</w:t>
      </w:r>
    </w:p>
    <w:p>
      <w:pPr>
        <w:spacing w:line="360" w:lineRule="auto" w:after="120"/>
        <w:ind w:firstLine="425"/>
        <w:jc w:val="both"/>
      </w:pPr>
      <w:r>
        <w:rPr>
          <w:rFonts w:ascii="Liberation Serif" w:hAnsi="Liberation Serif" w:cs="Liberation Serif"/>
          <w:b w:val="0"/>
          <w:i w:val="0"/>
          <w:color w:val="333333"/>
          <w:sz w:val="24"/>
        </w:rPr>
        <w:t>L'encyclique s'inscrit dans une longue tradition de textes pontificaux sur les questions sociales. De Rerum Novarum (1891) de Léon XIII a Centesimus Annus (1991) de Jean-Paul II, en passant par Laudato Si' (2015) et Fratelli Tutti (2020) du pape François, l'Église a toujours cherche a offrir un cadre de reflexion moral face aux transformations de la societe. Magnifica Humanitas prolonge cette tradition en l'appliquant au domaine specifique de l'intelligence artificielle. Ce faisant, elle rejoint les preoccupations exprimees par d'autres institutions internationales, notamment la recommandation de l'UNESCO sur l'éthique de l'IA (2021), mais elle le fait avec une profondeur anthropologique et une portee universelle qui lui sont propres.</w:t>
      </w:r>
    </w:p>
    <w:p>
      <w:pPr>
        <w:pStyle w:val="Heading1"/>
        <w:pBdr>
          <w:bottom w:val="single" w:sz="8" w:space="4" w:color="1B3A5C"/>
        </w:pBdr>
      </w:pPr>
      <w:r>
        <w:rPr>
          <w:rFonts w:ascii="Liberation Sans" w:hAnsi="Liberation Sans"/>
          <w:b/>
          <w:color w:val="1B3A5C"/>
        </w:rPr>
        <w:t>2. Axes de Convergence</w:t>
      </w:r>
    </w:p>
    <w:p>
      <w:pPr>
        <w:spacing w:line="360" w:lineRule="auto" w:after="120"/>
        <w:ind w:firstLine="425"/>
        <w:jc w:val="both"/>
      </w:pPr>
      <w:r>
        <w:rPr>
          <w:rFonts w:ascii="Liberation Serif" w:hAnsi="Liberation Serif" w:cs="Liberation Serif"/>
          <w:b w:val="0"/>
          <w:i w:val="0"/>
          <w:color w:val="333333"/>
          <w:sz w:val="24"/>
        </w:rPr>
        <w:t>Malgré leurs différences d’origine et de méthode, les deux documents présentent des convergences remarquables sur quatre axes principaux qui définissent les contours d’une governance de l’IA responsable et humaniste.</w:t>
      </w:r>
    </w:p>
    <w:p>
      <w:pPr>
        <w:pStyle w:val="Heading2"/>
      </w:pPr>
      <w:r>
        <w:rPr>
          <w:rFonts w:ascii="Liberation Sans" w:hAnsi="Liberation Sans"/>
          <w:b/>
          <w:color w:val="1B3A5C"/>
        </w:rPr>
        <w:t>2.1 Décentralisation du pouvoir et lutte contre les monopoles</w:t>
      </w:r>
    </w:p>
    <w:p>
      <w:pPr>
        <w:spacing w:line="360" w:lineRule="auto" w:after="120"/>
        <w:ind w:firstLine="425"/>
        <w:jc w:val="both"/>
      </w:pPr>
      <w:r>
        <w:rPr>
          <w:rFonts w:ascii="Liberation Serif" w:hAnsi="Liberation Serif" w:cs="Liberation Serif"/>
          <w:b w:val="0"/>
          <w:i w:val="0"/>
          <w:color w:val="333333"/>
          <w:sz w:val="24"/>
        </w:rPr>
        <w:t>Le Protocole Ankh AI aborde la question de la centralisation du pouvoir sous l’angle technique. Son architecture pair-à-pair élimine délibérément tout point de défaillance unique et tout acteur central pouvant exercer un contrôle unilatéral sur le système. La couche réseau repose sur un maillage décentralisé où chaque noeud est à la fois client et serveur, rendant toute tentative de monopolisation structurellement impossible. Le mécanisme de consensus PoUC renforce cette logique en distribuant le pouvoir de décision en fonction de l’utilité collaborative réelle de chaque participant, et non de sa puissance de calcul ou de sa capitalisation financière.</w:t>
      </w:r>
    </w:p>
    <w:p>
      <w:pPr>
        <w:spacing w:line="360" w:lineRule="auto" w:after="120"/>
        <w:ind w:firstLine="425"/>
        <w:jc w:val="both"/>
      </w:pPr>
      <w:r>
        <w:rPr>
          <w:rFonts w:ascii="Liberation Serif" w:hAnsi="Liberation Serif" w:cs="Liberation Serif"/>
          <w:b w:val="0"/>
          <w:i w:val="0"/>
          <w:color w:val="333333"/>
          <w:sz w:val="24"/>
        </w:rPr>
        <w:t>L’encyclique Magnifica Humanitas aborde la même question sous l’angle éthique et politique. Les paragraphes 5, 105-110 dénoncent avec force la concentration du pouvoir algorithmique entre les mains d’un petit nombre d’acteurs privés, qualifiant cette situation de « menace pour la démocratie et la liberté humaine ». Le Saint-Père appelle à une redistribution du pouvoir technologique et à la création de structures de gouvernance participatives qui permettent à chaque communauté de participer aux décisions la concernant. L’appel au « désarmement de l’IA » s’inscrit dans cette logique de démilitarisation et de démocratisation du pouvoir algorithmique.</w:t>
      </w:r>
    </w:p>
    <w:p>
      <w:pPr>
        <w:spacing w:line="360" w:lineRule="auto" w:after="120"/>
        <w:ind w:firstLine="425"/>
        <w:jc w:val="both"/>
      </w:pPr>
      <w:r>
        <w:rPr>
          <w:rFonts w:ascii="Liberation Serif" w:hAnsi="Liberation Serif" w:cs="Liberation Serif"/>
          <w:b w:val="0"/>
          <w:i w:val="0"/>
          <w:color w:val="333333"/>
          <w:sz w:val="24"/>
        </w:rPr>
        <w:t>La convergence entre ces deux approches est évidente : toutes deux rejettent le monopole technologique et plaident pour une distribution équitable du pouvoir de décision. La différence réside dans les moyens proposés — l’architecture décentralisée d’un côté, la réforme institutionnelle de l’autre — mais l’objectif ultime est identique : empêcher que l’IA ne devienne un instrument de domination au profit de quelques-uns. Cette convergence est d’autant plus significative qu’elle émane de deux traditions intellectuelles radicalement différentes, ce qui renforce la légitimité de ce principe.</w:t>
      </w:r>
    </w:p>
    <w:p>
      <w:pPr>
        <w:pStyle w:val="Heading2"/>
      </w:pPr>
      <w:r>
        <w:rPr>
          <w:rFonts w:ascii="Liberation Sans" w:hAnsi="Liberation Sans"/>
          <w:b/>
          <w:color w:val="1B3A5C"/>
        </w:rPr>
        <w:t>2.2 Souveraineté des données et bien commun</w:t>
      </w:r>
    </w:p>
    <w:p>
      <w:pPr>
        <w:spacing w:line="360" w:lineRule="auto" w:after="120"/>
        <w:ind w:firstLine="425"/>
        <w:jc w:val="both"/>
      </w:pPr>
      <w:r>
        <w:rPr>
          <w:rFonts w:ascii="Liberation Serif" w:hAnsi="Liberation Serif" w:cs="Liberation Serif"/>
          <w:b w:val="0"/>
          <w:i w:val="0"/>
          <w:color w:val="333333"/>
          <w:sz w:val="24"/>
        </w:rPr>
        <w:t>Le Protocole Ankh AI place la souveraineté des données au coeur de son architecture. Par le biais des mécanismes de confidentialité différentielle, de chiffrement homomorphe et de calcul multi-parties sécurisé, le protocole garantit que les données personnelles ne quittent jamais l’environnement local de leur propriétaire. L’entraînement fédéré des modèles se fait sans centralisation des données, respectant ainsi le principe de minimisation de la collecte et de protection de la vie privée par conception (privacy by design). Cette approche répond directement aux préoccupations soulevées par le RGPD et par les recommandations de l’UNESCO sur l’éthique de l’intelligence artificielle.</w:t>
      </w:r>
    </w:p>
    <w:p>
      <w:pPr>
        <w:spacing w:line="360" w:lineRule="auto" w:after="120"/>
        <w:ind w:firstLine="425"/>
        <w:jc w:val="both"/>
      </w:pPr>
      <w:r>
        <w:rPr>
          <w:rFonts w:ascii="Liberation Serif" w:hAnsi="Liberation Serif" w:cs="Liberation Serif"/>
          <w:b w:val="0"/>
          <w:i w:val="0"/>
          <w:color w:val="333333"/>
          <w:sz w:val="24"/>
        </w:rPr>
        <w:t>L’encyclique aborde la question des données sous l’angle de la destination universelle des biens. Les paragraphes 65-67 affirment que les données, les algorithmes et les plateformes numériques constituent des biens communs qui ne peuvent être appropriés exclusivement par des acteurs privés. Le paragraphe 109 renforce cette position en appelant à une governance des données qui serve le bien commun plutôt que les intérêts particuliers. Cette conception des données comme bien commun s’inscrit dans la tradition de la doctrine sociale de l’Église, qui reconnaît le droit de propriété privée mais le subordonne toujours à la destination universelle des biens.</w:t>
      </w:r>
    </w:p>
    <w:p>
      <w:pPr>
        <w:spacing w:line="360" w:lineRule="auto" w:after="120"/>
        <w:ind w:firstLine="425"/>
        <w:jc w:val="both"/>
      </w:pPr>
      <w:r>
        <w:rPr>
          <w:rFonts w:ascii="Liberation Serif" w:hAnsi="Liberation Serif" w:cs="Liberation Serif"/>
          <w:b w:val="0"/>
          <w:i w:val="0"/>
          <w:color w:val="333333"/>
          <w:sz w:val="24"/>
        </w:rPr>
        <w:t>Ici encore, la convergence est frappante. Le protocole technique et le document magistériel aboutissent tous deux à la même conclusion fondamentale : les données ne sont pas une marchandise comme les autres, et leur gouvernance doit être orientée vers le bien commun. La mise en oeuvre technique du protocole (données locales, entraînement fédéré) réalise concrètement ce que l’encyclique énonce comme principe doctrinal. Shoshana Zuboff, dans son ouvrage majeur sur le capitalisme de surveillance, a décrit comment les données personnelles ont été transformées en matière première commodifiée ; les deux documents analysés ici proposent, chacun à leur manière, une alternative à cette logique extractiviste.</w:t>
      </w:r>
    </w:p>
    <w:p>
      <w:pPr>
        <w:pStyle w:val="Heading2"/>
      </w:pPr>
      <w:r>
        <w:rPr>
          <w:rFonts w:ascii="Liberation Sans" w:hAnsi="Liberation Sans"/>
          <w:b/>
          <w:color w:val="1B3A5C"/>
        </w:rPr>
        <w:t>2.3 Transparence, responsabilité et gouvernance</w:t>
      </w:r>
    </w:p>
    <w:p>
      <w:pPr>
        <w:spacing w:line="360" w:lineRule="auto" w:after="120"/>
        <w:ind w:firstLine="425"/>
        <w:jc w:val="both"/>
      </w:pPr>
      <w:r>
        <w:rPr>
          <w:rFonts w:ascii="Liberation Serif" w:hAnsi="Liberation Serif" w:cs="Liberation Serif"/>
          <w:b w:val="0"/>
          <w:i w:val="0"/>
          <w:color w:val="333333"/>
          <w:sz w:val="24"/>
        </w:rPr>
        <w:t>Le Protocole Ankh AI met en place un ensemble de mécanismes de transparence et de responsabilité. La traçabilité immutable des opérations, assurée par la technologie de registre distribué, permet d’auditer chaque décision et chaque processus algorithmique. La gouvernance par DAO offre un cadre participatif où chaque membre dispose d’un droit de vote proportionnel à sa contribution. Le système de réputation, basé sur la qualité vérifiable des contributions, ajoute une couche de responsabilité individuelle au dispositif collectif. Le consensus PoUC, enfin, garantit que les décisions sont prises en fonction de l’utilité réelle pour la communauté, et non en fonction de la puissance ou de l’influence de tel ou tel acteur.</w:t>
      </w:r>
    </w:p>
    <w:p>
      <w:pPr>
        <w:spacing w:line="360" w:lineRule="auto" w:after="120"/>
        <w:ind w:firstLine="425"/>
        <w:jc w:val="both"/>
      </w:pPr>
      <w:r>
        <w:rPr>
          <w:rFonts w:ascii="Liberation Serif" w:hAnsi="Liberation Serif" w:cs="Liberation Serif"/>
          <w:b w:val="0"/>
          <w:i w:val="0"/>
          <w:color w:val="333333"/>
          <w:sz w:val="24"/>
        </w:rPr>
        <w:t>L’encyclique Magnifica Humanitas consacre les paragraphes 102-108 à la question de la transparence et de la responsabilité dans le domaine de l’IA. Le Saint-Père insiste sur la nécessité d’un oversight indépendant, capable de vérifier que les systèmes algorithmiques fonctionnent conformément à l’intérêt général. Il appelle à des cadres de gouvernance transparents, participatifs et responsables, où les personnes affectées par les décisions algorithmiques ont le droit de comprendre et de contester ces décisions. L’encyclique souligne également l’importance de la responsabilité collective, affirmant que la governance de l’IA ne peut être laissée à la seule initiative des entreprises technologiques.</w:t>
      </w:r>
    </w:p>
    <w:p>
      <w:pPr>
        <w:spacing w:line="360" w:lineRule="auto" w:after="120"/>
        <w:ind w:firstLine="425"/>
        <w:jc w:val="both"/>
      </w:pPr>
      <w:r>
        <w:rPr>
          <w:rFonts w:ascii="Liberation Serif" w:hAnsi="Liberation Serif" w:cs="Liberation Serif"/>
          <w:b w:val="0"/>
          <w:i w:val="0"/>
          <w:color w:val="333333"/>
          <w:sz w:val="24"/>
        </w:rPr>
        <w:t>La convergence sur cet axe est particulièrement forte. Les deux documents exigent une governance transparente, responsable et participative. La DAO du protocole incarne techniquement les principes de gouvernance participative que l’encyclique appelle de ses voeux. La traçabilité immutable répond à l’exigence de transparence formulée par le magistère, tandis que le système de réputation correspond à l’appel à la responsabilité individuelle et collective. Ce parallèle est d’autant plus remarquable que les deux documents sont parus de manière indépendante, ce qui suggère l’émergence d’un consensus de plus en plus large sur la nécessité de ces principes de gouvernance.</w:t>
      </w:r>
    </w:p>
    <w:p>
      <w:pPr>
        <w:pStyle w:val="Heading2"/>
      </w:pPr>
      <w:r>
        <w:rPr>
          <w:rFonts w:ascii="Liberation Sans" w:hAnsi="Liberation Sans"/>
          <w:b/>
          <w:color w:val="1B3A5C"/>
        </w:rPr>
        <w:t>2.4 Équité, solidarité et inclusion</w:t>
      </w:r>
    </w:p>
    <w:p>
      <w:pPr>
        <w:spacing w:line="360" w:lineRule="auto" w:after="120"/>
        <w:ind w:firstLine="425"/>
        <w:jc w:val="both"/>
      </w:pPr>
      <w:r>
        <w:rPr>
          <w:rFonts w:ascii="Liberation Serif" w:hAnsi="Liberation Serif" w:cs="Liberation Serif"/>
          <w:b w:val="0"/>
          <w:i w:val="0"/>
          <w:color w:val="333333"/>
          <w:sz w:val="24"/>
        </w:rPr>
        <w:t>Le Protocole Ankh AI intègre un mécanisme d’incitation équitable qui récompense les contributions des participants en fonction de leur utilité réelle pour le système, et non en fonction de leur puissance de calcul ou de leur capital. Ce mécanisme garantit que même les acteurs disposant de ressources limitées peuvent participer significativement au réseau et en tirer bénéfice. L’accès ouvert (open access) aux modèles et aux ressources du protocole favorise l’inclusion et réduit la fracture numérique entre les communautés.</w:t>
      </w:r>
    </w:p>
    <w:p>
      <w:pPr>
        <w:spacing w:line="360" w:lineRule="auto" w:after="120"/>
        <w:ind w:firstLine="425"/>
        <w:jc w:val="both"/>
      </w:pPr>
      <w:r>
        <w:rPr>
          <w:rFonts w:ascii="Liberation Serif" w:hAnsi="Liberation Serif" w:cs="Liberation Serif"/>
          <w:b w:val="0"/>
          <w:i w:val="0"/>
          <w:color w:val="333333"/>
          <w:sz w:val="24"/>
        </w:rPr>
        <w:t>L’encyclique Magnifica Humanitas consacre les paragraphes 73-80 aux thèmes de la solidarité et de la justice sociale dans le contexte numérique. Le Saint-Père rappelle l’option préférentielle pour les pauvres, affirmant que les fruits du progrès technologique doivent bénéficier en priorité aux plus vulnérables. Il dénonce la fracture numérique comme une nouvelle forme d’injustice et appelle à une redistribution équitable des ressources technologiques. L’encyclique insiste sur la nécessité d’inclure les communautés marginalisées dans le développement et la governance de l’IA, affirmant que la technologie doit être un instrument de libération, non d’exclusion.</w:t>
      </w:r>
    </w:p>
    <w:p>
      <w:pPr>
        <w:spacing w:line="360" w:lineRule="auto" w:after="120"/>
        <w:ind w:firstLine="425"/>
        <w:jc w:val="both"/>
      </w:pPr>
      <w:r>
        <w:rPr>
          <w:rFonts w:ascii="Liberation Serif" w:hAnsi="Liberation Serif" w:cs="Liberation Serif"/>
          <w:b w:val="0"/>
          <w:i w:val="0"/>
          <w:color w:val="333333"/>
          <w:sz w:val="24"/>
        </w:rPr>
        <w:t>La convergence sur cet axe est profonde. Les deux documents affirment que la technologie doit servir les plus vulnérables et non les exclure. Le mécanisme d’incitation équitable du protocole réalise concrètement le principe de justice sociale énoncé par l’encyclique. L’accès ouvert correspond à la vocation universelle de la doctrine sociale, qui reconnaît que les biens de la terre sont destinés à tous les hommes. Cette convergence révèle que la préoccupation pour l’équité n’est pas l’apanage d’une tradition de pensée mais une aspiration universelle qui traverse les frontières disciplinaires et culturelles.</w:t>
      </w:r>
    </w:p>
    <w:p>
      <w:pPr>
        <w:spacing w:line="360" w:lineRule="auto" w:after="120"/>
        <w:ind w:firstLine="425"/>
        <w:jc w:val="both"/>
      </w:pPr>
      <w:r>
        <w:rPr>
          <w:rFonts w:ascii="Liberation Serif" w:hAnsi="Liberation Serif" w:cs="Liberation Serif"/>
          <w:b w:val="0"/>
          <w:i w:val="0"/>
          <w:color w:val="333333"/>
          <w:sz w:val="24"/>
        </w:rPr>
        <w:t>Il est important de noter que ces quatre axes de convergence ne sont pas isóles les uns des autres mais forment un système cohérent. La décentralisation du pouvoir rend possible la souveraineté des données, qui a son tour rend possible la transparence. L'équité ne peut exister sans transparence, et la transparence n'a de sens que dans un cadre décentralisé. Les deux documents, chacun à leur manière, dessinent ainsi les contours d'une governance systémique de l'IA, où chaque principe réclame et renforce les autres. C'est cette systémicité qui conferè à leur convergence toute sa force et sa portee.</w:t>
      </w:r>
    </w:p>
    <w:p/>
    <w:p>
      <w:pPr>
        <w:spacing w:after="200"/>
        <w:jc w:val="center"/>
      </w:pPr>
      <w:r>
        <w:rPr>
          <w:rFonts w:ascii="Liberation Sans" w:hAnsi="Liberation Sans" w:cs="Liberation Sans"/>
          <w:b/>
          <w:i/>
          <w:color w:val="1B3A5C"/>
          <w:sz w:val="20"/>
        </w:rPr>
        <w:t>Tableau 1 : Synthèse Comparative des Axes de Convergence</w:t>
      </w:r>
    </w:p>
    <w:tbl>
      <w:tblPr>
        <w:tblStyle w:val="TableGrid"/>
        <w:tblW w:type="auto" w:w="0"/>
        <w:jc w:val="center"/>
        <w:tblLook w:firstColumn="1" w:firstRow="1" w:lastColumn="0" w:lastRow="0" w:noHBand="0" w:noVBand="1" w:val="04A0"/>
      </w:tblPr>
      <w:tblGrid>
        <w:gridCol w:w="2078"/>
        <w:gridCol w:w="2078"/>
        <w:gridCol w:w="2078"/>
        <w:gridCol w:w="2078"/>
      </w:tblGrid>
      <w:tr>
        <w:tc>
          <w:tcPr>
            <w:tcW w:type="dxa" w:w="1984"/>
            <w:shd w:fill="E8ECF0"/>
          </w:tcPr>
          <w:p>
            <w:pPr>
              <w:jc w:val="center"/>
            </w:pPr>
            <w:r/>
            <w:r>
              <w:rPr>
                <w:rFonts w:ascii="Liberation Sans" w:hAnsi="Liberation Sans"/>
                <w:b/>
                <w:color w:val="1B3A5C"/>
                <w:sz w:val="18"/>
              </w:rPr>
              <w:t>Axe de Convergence</w:t>
            </w:r>
          </w:p>
        </w:tc>
        <w:tc>
          <w:tcPr>
            <w:tcW w:type="dxa" w:w="2551"/>
            <w:shd w:fill="E8ECF0"/>
          </w:tcPr>
          <w:p>
            <w:pPr>
              <w:jc w:val="center"/>
            </w:pPr>
            <w:r/>
            <w:r>
              <w:rPr>
                <w:rFonts w:ascii="Liberation Sans" w:hAnsi="Liberation Sans"/>
                <w:b/>
                <w:color w:val="1B3A5C"/>
                <w:sz w:val="18"/>
              </w:rPr>
              <w:t>Protocole Ankh AI</w:t>
            </w:r>
          </w:p>
        </w:tc>
        <w:tc>
          <w:tcPr>
            <w:tcW w:type="dxa" w:w="2551"/>
            <w:shd w:fill="E8ECF0"/>
          </w:tcPr>
          <w:p>
            <w:pPr>
              <w:jc w:val="center"/>
            </w:pPr>
            <w:r/>
            <w:r>
              <w:rPr>
                <w:rFonts w:ascii="Liberation Sans" w:hAnsi="Liberation Sans"/>
                <w:b/>
                <w:color w:val="1B3A5C"/>
                <w:sz w:val="18"/>
              </w:rPr>
              <w:t>Magnifica Humanitas</w:t>
            </w:r>
          </w:p>
        </w:tc>
        <w:tc>
          <w:tcPr>
            <w:tcW w:type="dxa" w:w="1984"/>
            <w:shd w:fill="E8ECF0"/>
          </w:tcPr>
          <w:p>
            <w:pPr>
              <w:jc w:val="center"/>
            </w:pPr>
            <w:r/>
            <w:r>
              <w:rPr>
                <w:rFonts w:ascii="Liberation Sans" w:hAnsi="Liberation Sans"/>
                <w:b/>
                <w:color w:val="1B3A5C"/>
                <w:sz w:val="18"/>
              </w:rPr>
              <w:t>Principe Commun</w:t>
            </w:r>
          </w:p>
        </w:tc>
      </w:tr>
      <w:tr>
        <w:tc>
          <w:tcPr>
            <w:tcW w:type="dxa" w:w="1984"/>
          </w:tcPr>
          <w:p>
            <w:r/>
            <w:r>
              <w:rPr>
                <w:rFonts w:ascii="Liberation Sans" w:hAnsi="Liberation Sans"/>
                <w:b/>
                <w:color w:val="1B3A5C"/>
                <w:sz w:val="18"/>
              </w:rPr>
              <w:t>Décentralisation du pouvoir</w:t>
            </w:r>
          </w:p>
        </w:tc>
        <w:tc>
          <w:tcPr>
            <w:tcW w:type="dxa" w:w="2551"/>
          </w:tcPr>
          <w:p>
            <w:r/>
            <w:r>
              <w:rPr>
                <w:rFonts w:ascii="Liberation Serif" w:hAnsi="Liberation Serif"/>
                <w:color w:val="333333"/>
                <w:sz w:val="18"/>
              </w:rPr>
              <w:t>Architecture P2P, pas de point de défaillance unique, consensus PoUC</w:t>
            </w:r>
          </w:p>
        </w:tc>
        <w:tc>
          <w:tcPr>
            <w:tcW w:type="dxa" w:w="2551"/>
          </w:tcPr>
          <w:p>
            <w:r/>
            <w:r>
              <w:rPr>
                <w:rFonts w:ascii="Liberation Serif" w:hAnsi="Liberation Serif"/>
                <w:color w:val="333333"/>
                <w:sz w:val="18"/>
              </w:rPr>
              <w:t>Par. 5, 105-110 : dénonciation des monopoles, appel au désarmement</w:t>
            </w:r>
          </w:p>
        </w:tc>
        <w:tc>
          <w:tcPr>
            <w:tcW w:type="dxa" w:w="1984"/>
          </w:tcPr>
          <w:p>
            <w:r/>
            <w:r>
              <w:rPr>
                <w:rFonts w:ascii="Liberation Serif" w:hAnsi="Liberation Serif"/>
                <w:color w:val="333333"/>
                <w:sz w:val="18"/>
              </w:rPr>
              <w:t>Rejet des monopoles technologiques</w:t>
            </w:r>
          </w:p>
        </w:tc>
      </w:tr>
      <w:tr>
        <w:tc>
          <w:tcPr>
            <w:tcW w:type="dxa" w:w="1984"/>
            <w:shd w:fill="F2F5F8"/>
          </w:tcPr>
          <w:p>
            <w:r/>
            <w:r>
              <w:rPr>
                <w:rFonts w:ascii="Liberation Sans" w:hAnsi="Liberation Sans"/>
                <w:b/>
                <w:color w:val="1B3A5C"/>
                <w:sz w:val="18"/>
              </w:rPr>
              <w:t>Souveraineté des données</w:t>
            </w:r>
          </w:p>
        </w:tc>
        <w:tc>
          <w:tcPr>
            <w:tcW w:type="dxa" w:w="2551"/>
            <w:shd w:fill="F2F5F8"/>
          </w:tcPr>
          <w:p>
            <w:r/>
            <w:r>
              <w:rPr>
                <w:rFonts w:ascii="Liberation Serif" w:hAnsi="Liberation Serif"/>
                <w:color w:val="333333"/>
                <w:sz w:val="18"/>
              </w:rPr>
              <w:t>DP, HE, sMPC ; données locales ; privacy by design</w:t>
            </w:r>
          </w:p>
        </w:tc>
        <w:tc>
          <w:tcPr>
            <w:tcW w:type="dxa" w:w="2551"/>
            <w:shd w:fill="F2F5F8"/>
          </w:tcPr>
          <w:p>
            <w:r/>
            <w:r>
              <w:rPr>
                <w:rFonts w:ascii="Liberation Serif" w:hAnsi="Liberation Serif"/>
                <w:color w:val="333333"/>
                <w:sz w:val="18"/>
              </w:rPr>
              <w:t>Par. 65-67, 109 : données comme biens communs</w:t>
            </w:r>
          </w:p>
        </w:tc>
        <w:tc>
          <w:tcPr>
            <w:tcW w:type="dxa" w:w="1984"/>
            <w:shd w:fill="F2F5F8"/>
          </w:tcPr>
          <w:p>
            <w:r/>
            <w:r>
              <w:rPr>
                <w:rFonts w:ascii="Liberation Serif" w:hAnsi="Liberation Serif"/>
                <w:color w:val="333333"/>
                <w:sz w:val="18"/>
              </w:rPr>
              <w:t>Données = bien commun</w:t>
            </w:r>
          </w:p>
        </w:tc>
      </w:tr>
      <w:tr>
        <w:tc>
          <w:tcPr>
            <w:tcW w:type="dxa" w:w="1984"/>
          </w:tcPr>
          <w:p>
            <w:r/>
            <w:r>
              <w:rPr>
                <w:rFonts w:ascii="Liberation Sans" w:hAnsi="Liberation Sans"/>
                <w:b/>
                <w:color w:val="1B3A5C"/>
                <w:sz w:val="18"/>
              </w:rPr>
              <w:t>Transparence et gouvernance</w:t>
            </w:r>
          </w:p>
        </w:tc>
        <w:tc>
          <w:tcPr>
            <w:tcW w:type="dxa" w:w="2551"/>
          </w:tcPr>
          <w:p>
            <w:r/>
            <w:r>
              <w:rPr>
                <w:rFonts w:ascii="Liberation Serif" w:hAnsi="Liberation Serif"/>
                <w:color w:val="333333"/>
                <w:sz w:val="18"/>
              </w:rPr>
              <w:t>Traçabilité immutable, DAO, système de réputation</w:t>
            </w:r>
          </w:p>
        </w:tc>
        <w:tc>
          <w:tcPr>
            <w:tcW w:type="dxa" w:w="2551"/>
          </w:tcPr>
          <w:p>
            <w:r/>
            <w:r>
              <w:rPr>
                <w:rFonts w:ascii="Liberation Serif" w:hAnsi="Liberation Serif"/>
                <w:color w:val="333333"/>
                <w:sz w:val="18"/>
              </w:rPr>
              <w:t>Par. 102-108 : oversight indépendant, gouvernance participative</w:t>
            </w:r>
          </w:p>
        </w:tc>
        <w:tc>
          <w:tcPr>
            <w:tcW w:type="dxa" w:w="1984"/>
          </w:tcPr>
          <w:p>
            <w:r/>
            <w:r>
              <w:rPr>
                <w:rFonts w:ascii="Liberation Serif" w:hAnsi="Liberation Serif"/>
                <w:color w:val="333333"/>
                <w:sz w:val="18"/>
              </w:rPr>
              <w:t>Gouvernance transparente et responsable</w:t>
            </w:r>
          </w:p>
        </w:tc>
      </w:tr>
      <w:tr>
        <w:tc>
          <w:tcPr>
            <w:tcW w:type="dxa" w:w="1984"/>
            <w:shd w:fill="F2F5F8"/>
          </w:tcPr>
          <w:p>
            <w:r/>
            <w:r>
              <w:rPr>
                <w:rFonts w:ascii="Liberation Sans" w:hAnsi="Liberation Sans"/>
                <w:b/>
                <w:color w:val="1B3A5C"/>
                <w:sz w:val="18"/>
              </w:rPr>
              <w:t>Équité et inclusion</w:t>
            </w:r>
          </w:p>
        </w:tc>
        <w:tc>
          <w:tcPr>
            <w:tcW w:type="dxa" w:w="2551"/>
            <w:shd w:fill="F2F5F8"/>
          </w:tcPr>
          <w:p>
            <w:r/>
            <w:r>
              <w:rPr>
                <w:rFonts w:ascii="Liberation Serif" w:hAnsi="Liberation Serif"/>
                <w:color w:val="333333"/>
                <w:sz w:val="18"/>
              </w:rPr>
              <w:t>Incitations équitables, open access, contribution récompensée</w:t>
            </w:r>
          </w:p>
        </w:tc>
        <w:tc>
          <w:tcPr>
            <w:tcW w:type="dxa" w:w="2551"/>
            <w:shd w:fill="F2F5F8"/>
          </w:tcPr>
          <w:p>
            <w:r/>
            <w:r>
              <w:rPr>
                <w:rFonts w:ascii="Liberation Serif" w:hAnsi="Liberation Serif"/>
                <w:color w:val="333333"/>
                <w:sz w:val="18"/>
              </w:rPr>
              <w:t>Par. 73-80 : solidarité, option pour les pauvres, fracture numérique</w:t>
            </w:r>
          </w:p>
        </w:tc>
        <w:tc>
          <w:tcPr>
            <w:tcW w:type="dxa" w:w="1984"/>
            <w:shd w:fill="F2F5F8"/>
          </w:tcPr>
          <w:p>
            <w:r/>
            <w:r>
              <w:rPr>
                <w:rFonts w:ascii="Liberation Serif" w:hAnsi="Liberation Serif"/>
                <w:color w:val="333333"/>
                <w:sz w:val="18"/>
              </w:rPr>
              <w:t>Technologie au service de tous</w:t>
            </w:r>
          </w:p>
        </w:tc>
      </w:tr>
    </w:tbl>
    <w:p/>
    <w:p>
      <w:pPr>
        <w:pStyle w:val="Heading1"/>
        <w:pBdr>
          <w:bottom w:val="single" w:sz="8" w:space="4" w:color="1B3A5C"/>
        </w:pBdr>
      </w:pPr>
      <w:r>
        <w:rPr>
          <w:rFonts w:ascii="Liberation Sans" w:hAnsi="Liberation Sans"/>
          <w:b/>
          <w:color w:val="1B3A5C"/>
        </w:rPr>
        <w:t>3. Axes de Divergence et Complémentarité</w:t>
      </w:r>
    </w:p>
    <w:p>
      <w:pPr>
        <w:spacing w:line="360" w:lineRule="auto" w:after="120"/>
        <w:ind w:firstLine="425"/>
        <w:jc w:val="both"/>
      </w:pPr>
      <w:r>
        <w:rPr>
          <w:rFonts w:ascii="Liberation Serif" w:hAnsi="Liberation Serif" w:cs="Liberation Serif"/>
          <w:b w:val="0"/>
          <w:i w:val="0"/>
          <w:color w:val="333333"/>
          <w:sz w:val="24"/>
        </w:rPr>
        <w:t>Au-delà de leurs convergences, les deux documents présentent des différences fondamentales qui, loin d’être des faiblesses, constituent autant de complémentarités nécessaires pour une approche complète de la gouvernance de l’IA.</w:t>
      </w:r>
    </w:p>
    <w:p>
      <w:pPr>
        <w:pStyle w:val="Heading2"/>
      </w:pPr>
      <w:r>
        <w:rPr>
          <w:rFonts w:ascii="Liberation Sans" w:hAnsi="Liberation Sans"/>
          <w:b/>
          <w:color w:val="1B3A5C"/>
        </w:rPr>
        <w:t>3.1 Nature fondamentale des documents</w:t>
      </w:r>
    </w:p>
    <w:p>
      <w:pPr>
        <w:spacing w:line="360" w:lineRule="auto" w:after="120"/>
        <w:ind w:firstLine="425"/>
        <w:jc w:val="both"/>
      </w:pPr>
      <w:r>
        <w:rPr>
          <w:rFonts w:ascii="Liberation Serif" w:hAnsi="Liberation Serif" w:cs="Liberation Serif"/>
          <w:b w:val="0"/>
          <w:i w:val="0"/>
          <w:color w:val="333333"/>
          <w:sz w:val="24"/>
        </w:rPr>
        <w:t>Le Protocole Ankh AI est par nature un document technique et opérationnel. Il répond à la question du COMMENT : comment construire un système d’IA décentralisé, collaboratif et respectueux de la vie privée ? Sa démarche est pragmatique, constructive et orientée vers l’action. Chaque composant de l’architecture est décrit avec suffisamment de précision pour être implémenté par des équipes d’ingénierie. Le protocole se présente comme un ensemble de spécifications techniques exécutable, ce qui constitue sa force principale.</w:t>
      </w:r>
    </w:p>
    <w:p>
      <w:pPr>
        <w:spacing w:line="360" w:lineRule="auto" w:after="120"/>
        <w:ind w:firstLine="425"/>
        <w:jc w:val="both"/>
      </w:pPr>
      <w:r>
        <w:rPr>
          <w:rFonts w:ascii="Liberation Serif" w:hAnsi="Liberation Serif" w:cs="Liberation Serif"/>
          <w:b w:val="0"/>
          <w:i w:val="0"/>
          <w:color w:val="333333"/>
          <w:sz w:val="24"/>
        </w:rPr>
        <w:t>L’encyclique Magnifica Humanitas, en revanche, est un document normatif et philosophique. Elle répond aux questions du POURQUOI et du QUOI : pourquoi encadrer l’IA, et quels principes doivent guider cet encadrement ? Sa démarche est réflexive, argumentative et orientée vers la compréhension. Le document ne propose pas de solution technique mais articule un cadre de principes éthiques susceptibles d’éclairer toute initiative technique. Sa force réside dans sa capacité à poser les bonnes questions et à proposer des critères d’évaluation moraux.</w:t>
      </w:r>
    </w:p>
    <w:p>
      <w:pPr>
        <w:spacing w:line="360" w:lineRule="auto" w:after="120"/>
        <w:ind w:firstLine="425"/>
        <w:jc w:val="both"/>
      </w:pPr>
      <w:r>
        <w:rPr>
          <w:rFonts w:ascii="Liberation Serif" w:hAnsi="Liberation Serif" w:cs="Liberation Serif"/>
          <w:b w:val="0"/>
          <w:i w:val="0"/>
          <w:color w:val="333333"/>
          <w:sz w:val="24"/>
        </w:rPr>
        <w:t>Cette différence de nature n’est pas une opposition mais une complémentarité. Le protocole apporte les moyens techniques ; l’encyclique fournit la boussole éthique. L’un dit ce qu’il faut faire ; l’autre dit pourquoi il faut le faire.</w:t>
      </w:r>
    </w:p>
    <w:p>
      <w:pPr>
        <w:spacing w:line="360" w:lineRule="auto" w:after="120"/>
        <w:ind w:firstLine="425"/>
        <w:jc w:val="both"/>
      </w:pPr>
      <w:r>
        <w:rPr>
          <w:rFonts w:ascii="Liberation Serif" w:hAnsi="Liberation Serif" w:cs="Liberation Serif"/>
          <w:b w:val="0"/>
          <w:i w:val="0"/>
          <w:color w:val="333333"/>
          <w:sz w:val="24"/>
        </w:rPr>
        <w:t>Il est essentiel de comprendre que cette complémentarité n’est pas hiérarchique. Le document technique n’est pas subordonné au document éthique, ni inversement. Ils appartiennent à des ordres de rationalité différents mais équivalents dans leur aspiration au bien commun. La technicité du protocole ne le dispense pas de s’interroger sur les finalités de la technologie qu’il déploie ; la normativité de l’encyclique ne la dispense pas de se confronter aux contraintes et aux possibilités concrètes de l’ingénierie. Leur rencontre est donc non seulement souhaitable mais nécessaire.</w:t>
      </w:r>
    </w:p>
    <w:p>
      <w:pPr>
        <w:pStyle w:val="Heading2"/>
      </w:pPr>
      <w:r>
        <w:rPr>
          <w:rFonts w:ascii="Liberation Sans" w:hAnsi="Liberation Sans"/>
          <w:b/>
          <w:color w:val="1B3A5C"/>
        </w:rPr>
        <w:t>3.2 Cadre de référence</w:t>
      </w:r>
    </w:p>
    <w:p>
      <w:pPr>
        <w:spacing w:line="360" w:lineRule="auto" w:after="120"/>
        <w:ind w:firstLine="425"/>
        <w:jc w:val="both"/>
      </w:pPr>
      <w:r>
        <w:rPr>
          <w:rFonts w:ascii="Liberation Serif" w:hAnsi="Liberation Serif" w:cs="Liberation Serif"/>
          <w:b w:val="0"/>
          <w:i w:val="0"/>
          <w:color w:val="333333"/>
          <w:sz w:val="24"/>
        </w:rPr>
        <w:t>Le Protocole Ankh AI s’appuie sur les sciences de l’informatique, la théorie des systèmes distribués, la cryptographie et la théorie des jeux. Son langage est celui de l’ingénierie : noeuds, consensus, chiffrement, entraînement fédéré, mécanismes d’incitation. Ses références sont les publications scientifiques en apprentissage fédéré, en confidentialité différentielle et en architectures décentralisées. Ce cadre de référence lui confère une rigueur technique indéniable mais le limite à un registre essentiellement instrumental.</w:t>
      </w:r>
    </w:p>
    <w:p>
      <w:pPr>
        <w:spacing w:line="360" w:lineRule="auto" w:after="120"/>
        <w:ind w:firstLine="425"/>
        <w:jc w:val="both"/>
      </w:pPr>
      <w:r>
        <w:rPr>
          <w:rFonts w:ascii="Liberation Serif" w:hAnsi="Liberation Serif" w:cs="Liberation Serif"/>
          <w:b w:val="0"/>
          <w:i w:val="0"/>
          <w:color w:val="333333"/>
          <w:sz w:val="24"/>
        </w:rPr>
        <w:t>L’encyclique, quant à elle, s’inscrit dans la tradition de la doctrine sociale catholique, de la théologie morale, de la philosophie et du droit naturel. Son langage est celui de l’éthique et de la métaphysique : dignité, bien commun, solidarité, subsidiarité, destination universelle des biens, personne comme imago Dei. Ses références sont les textes pontificaux, les conciles, les Pères de l’Église et la tradition philosophique occidentale. Ce cadre de référence lui confère une profondeur réflexive remarquable mais peut la rendre moins accessible aux acteurs techniques.</w:t>
      </w:r>
    </w:p>
    <w:p>
      <w:pPr>
        <w:spacing w:line="360" w:lineRule="auto" w:after="120"/>
        <w:ind w:firstLine="425"/>
        <w:jc w:val="both"/>
      </w:pPr>
      <w:r>
        <w:rPr>
          <w:rFonts w:ascii="Liberation Serif" w:hAnsi="Liberation Serif" w:cs="Liberation Serif"/>
          <w:b w:val="0"/>
          <w:i w:val="0"/>
          <w:color w:val="333333"/>
          <w:sz w:val="24"/>
        </w:rPr>
        <w:t>Cependant, il serait erroné de réduire cette divergence à une simple différence de vocabulaire. Les cadres de référence engagent des modes de pensée, des critères de jugement et des hiérarchies de valeurs profondément distincts. Le protocole juge la qualité d’un système à l’aune de son efficacité technique, de sa scalabilité et de sa robustesse. L’encyclique la juge à l’aune de son respect de la dignité humaine, de sa contribution au bien commun et de sa compatibilité avec la vocation transcendante de la personne. Pour une governance complète de l’IA, ces deux grilles de lecture sont indispensables et doivent être articulées dans un cadre intégrateur.</w:t>
      </w:r>
    </w:p>
    <w:p>
      <w:pPr>
        <w:pStyle w:val="Heading2"/>
      </w:pPr>
      <w:r>
        <w:rPr>
          <w:rFonts w:ascii="Liberation Sans" w:hAnsi="Liberation Sans"/>
          <w:b/>
          <w:color w:val="1B3A5C"/>
        </w:rPr>
        <w:t>3.3 Vision de la personne humaine</w:t>
      </w:r>
    </w:p>
    <w:p>
      <w:pPr>
        <w:spacing w:line="360" w:lineRule="auto" w:after="120"/>
        <w:ind w:firstLine="425"/>
        <w:jc w:val="both"/>
      </w:pPr>
      <w:r>
        <w:rPr>
          <w:rFonts w:ascii="Liberation Serif" w:hAnsi="Liberation Serif" w:cs="Liberation Serif"/>
          <w:b w:val="0"/>
          <w:i w:val="0"/>
          <w:color w:val="333333"/>
          <w:sz w:val="24"/>
        </w:rPr>
        <w:t>Le Protocole Ankh AI propose une vision implicite de la personne humaine, celle d’un agent autonome contribuant à une intelligence collective. L’humain est conçu comme un noeud dans un réseau, un contributeur dont la valeur est mesurée à l’aune de son utilité collaborative. Cette vision, quoique respectueuse de l’autonomie individuelle et de la contribution collective, demeure essentiellement fonctionnelle et utilitariste. Elle ne s’interroge pas sur la nature profonde de la personne humaine, sa dignité intrinsèque ou sa vocation transcendante.</w:t>
      </w:r>
    </w:p>
    <w:p>
      <w:pPr>
        <w:spacing w:line="360" w:lineRule="auto" w:after="120"/>
        <w:ind w:firstLine="425"/>
        <w:jc w:val="both"/>
      </w:pPr>
      <w:r>
        <w:rPr>
          <w:rFonts w:ascii="Liberation Serif" w:hAnsi="Liberation Serif" w:cs="Liberation Serif"/>
          <w:b w:val="0"/>
          <w:i w:val="0"/>
          <w:color w:val="333333"/>
          <w:sz w:val="24"/>
        </w:rPr>
        <w:t>L’encyclique offre une vision explicite, riche et articulée de la personne humaine. Celle-ci est comprise comme imago Dei, portant en elle une dignité ontologique qui ne peut être ni confisquée ni marchandée. La personne est un être relationnel, appelé à la communion et à la solidarité. Elle est à la fois marquée par la grâce, qui l’élève au-dessus de sa condition matérielle, et par la limite, qui lui rappelle sa finitude et sa dépendance à l’égard du créateur. Cette anthropologie riche et non réductible constitue l’un des apports les plus précieux de l’encyclique.</w:t>
      </w:r>
    </w:p>
    <w:p>
      <w:pPr>
        <w:spacing w:line="360" w:lineRule="auto" w:after="120"/>
        <w:ind w:firstLine="425"/>
        <w:jc w:val="both"/>
      </w:pPr>
      <w:r>
        <w:rPr>
          <w:rFonts w:ascii="Liberation Serif" w:hAnsi="Liberation Serif" w:cs="Liberation Serif"/>
          <w:b w:val="0"/>
          <w:i w:val="0"/>
          <w:color w:val="333333"/>
          <w:sz w:val="24"/>
        </w:rPr>
        <w:t>La richesse de cette anthropologie mérite d’être soulignée. Alors que le débat technologique tend souvent à réduire la personne humaine à un ensemble de préférences, de données comportementales ou de paramètres d’optimisation, l’encyclique restitue la personne dans toute sa complexité : être de désir et de raison, sujet de droits et de devoirs, individu insubstituable et membre d’une communauté. Cette vision holistique de la personne humaine constitue un antidote puissant aux réductions utilitaristes auxquelles les systèmes d’IA sont souvent soumis, et elle devrait inspirer toute réflexion sérieuse sur la conception et le déploiement de ces systèmes.</w:t>
      </w:r>
    </w:p>
    <w:p>
      <w:pPr>
        <w:spacing w:line="360" w:lineRule="auto" w:after="120"/>
        <w:ind w:firstLine="425"/>
        <w:jc w:val="both"/>
      </w:pPr>
      <w:r>
        <w:rPr>
          <w:rFonts w:ascii="Liberation Serif" w:hAnsi="Liberation Serif" w:cs="Liberation Serif"/>
          <w:b w:val="0"/>
          <w:i w:val="0"/>
          <w:color w:val="333333"/>
          <w:sz w:val="24"/>
        </w:rPr>
        <w:t>Le constat est donc clair : le Protocole Ankh AI propose une conception fonctionnelle et instrumentale de la personne humaine, tandis que l'encyclique propose une conception substantielle et relationnelle. Ces deux conceptions ne s'excluent pas mais se complètent. Une approche exclusivement fonctionnelle risque de transformer l'humain en simple rouage du systeme technique ; une approche exclusivement substantielle risque de demeurer au niveau des principes sans jamais se traduire en consequences pratiques pour la conception des systemes. C'est la combinaison des deux qui permet d'articuler un ideal anthropologique avec des exigences techniques concretes.</w:t>
      </w:r>
    </w:p>
    <w:p>
      <w:pPr>
        <w:pStyle w:val="Heading2"/>
      </w:pPr>
      <w:r>
        <w:rPr>
          <w:rFonts w:ascii="Liberation Sans" w:hAnsi="Liberation Sans"/>
          <w:b/>
          <w:color w:val="1B3A5C"/>
        </w:rPr>
        <w:t>3.4 Approche de la limite et du transhumanisme</w:t>
      </w:r>
    </w:p>
    <w:p>
      <w:pPr>
        <w:spacing w:line="360" w:lineRule="auto" w:after="120"/>
        <w:ind w:firstLine="425"/>
        <w:jc w:val="both"/>
      </w:pPr>
      <w:r>
        <w:rPr>
          <w:rFonts w:ascii="Liberation Serif" w:hAnsi="Liberation Serif" w:cs="Liberation Serif"/>
          <w:b w:val="0"/>
          <w:i w:val="0"/>
          <w:color w:val="333333"/>
          <w:sz w:val="24"/>
        </w:rPr>
        <w:t>Le Protocole Ankh AI reconnaît certaines limites techniques inhérentes à son architecture : les compromis entre mise à l’échelle et confidentialité, les défis de la scalabilité des systèmes décentralisés, les coûts de calcul associés aux mécanismes cryptographiques. Cependant, ces limites sont envisagées exclusivement sous l’angle de l’optimisation technique, sans réflexion philosophique sur la nature de la limite elle-même. Le protocole ne propose aucune méditation sur les frontières que la technologie ne devrait pas franchir, ni sur les risques d’une fuite en avant transhumaniste.</w:t>
      </w:r>
    </w:p>
    <w:p>
      <w:pPr>
        <w:spacing w:line="360" w:lineRule="auto" w:after="120"/>
        <w:ind w:firstLine="425"/>
        <w:jc w:val="both"/>
      </w:pPr>
      <w:r>
        <w:rPr>
          <w:rFonts w:ascii="Liberation Serif" w:hAnsi="Liberation Serif" w:cs="Liberation Serif"/>
          <w:b w:val="0"/>
          <w:i w:val="0"/>
          <w:color w:val="333333"/>
          <w:sz w:val="24"/>
        </w:rPr>
        <w:t>L’encyclique, en revanche, consacre une méditation approfondie à la question de la limite humaine (paragraphes 112-125). Le Saint-Père y développe une critique soutenue du transhumanisme et du posthumanisme, qu’il qualifie d’« illusion prométhéenne ». Pour l’encyclique, la vraie grandeur de l’homme ne réside pas dans sa capacité à se dépasser technologiquement, mais dans sa capacité à accueillir la grâce qui le rend « plus qu’humain » non par la technique mais par l’ouverture à la transcendance. La limite humaine n’est pas un défaut à corriger mais une condition de la liberté et de la responsabilité.</w:t>
      </w:r>
    </w:p>
    <w:p>
      <w:pPr>
        <w:spacing w:line="360" w:lineRule="auto" w:after="120"/>
        <w:ind w:firstLine="425"/>
        <w:jc w:val="both"/>
      </w:pPr>
      <w:r>
        <w:rPr>
          <w:rFonts w:ascii="Liberation Serif" w:hAnsi="Liberation Serif" w:cs="Liberation Serif"/>
          <w:b w:val="0"/>
          <w:i w:val="0"/>
          <w:color w:val="333333"/>
          <w:sz w:val="24"/>
        </w:rPr>
        <w:t>Sur cet axe, la divergence est la plus marquée et la plus significative. Le protocole est silencieux sur les questions anthropologiques et métaphysiques que l’encyclique place au coeur de sa réflexion. Cette divergence n’est pas un défaut du protocole — il n’est pas de son ressort de répondre à ces questions — mais elle signale la nécessité d’un dialogue entre les deux approches. L’absence de réflexion sur les limites de la technologie constitue un vide que seule une approche philosophique et morale peut combler.</w:t>
      </w:r>
    </w:p>
    <w:p>
      <w:pPr>
        <w:pStyle w:val="Heading1"/>
        <w:pBdr>
          <w:bottom w:val="single" w:sz="8" w:space="4" w:color="1B3A5C"/>
        </w:pBdr>
      </w:pPr>
      <w:r>
        <w:rPr>
          <w:rFonts w:ascii="Liberation Sans" w:hAnsi="Liberation Sans"/>
          <w:b/>
          <w:color w:val="1B3A5C"/>
        </w:rPr>
        <w:t>4. Évaluation Critique et Synergie Potentielle</w:t>
      </w:r>
    </w:p>
    <w:p>
      <w:pPr>
        <w:pStyle w:val="Heading2"/>
      </w:pPr>
      <w:r>
        <w:rPr>
          <w:rFonts w:ascii="Liberation Sans" w:hAnsi="Liberation Sans"/>
          <w:b/>
          <w:color w:val="1B3A5C"/>
        </w:rPr>
        <w:t>4.1 Forces et limites du Protocole Ankh AI</w:t>
      </w:r>
    </w:p>
    <w:p>
      <w:pPr>
        <w:spacing w:line="360" w:lineRule="auto" w:after="120"/>
        <w:ind w:firstLine="425"/>
        <w:jc w:val="both"/>
      </w:pPr>
      <w:r>
        <w:rPr>
          <w:rFonts w:ascii="Liberation Serif" w:hAnsi="Liberation Serif" w:cs="Liberation Serif"/>
          <w:b w:val="0"/>
          <w:i w:val="0"/>
          <w:color w:val="333333"/>
          <w:sz w:val="24"/>
        </w:rPr>
        <w:t>Le Protocole Ankh AI présente plusieurs forces considérables. Premièrement, il est opérationnel et implémentable : chaque composant de l’architecture est décrit avec suffisamment de précision pour permettre une mise en oeuvre concrète par des équipes d’ingénierie. Deuxièmement, il est techniquement rigoureux, s’appuyant sur des mécanismes éprouvés en cryptographie, en apprentissage distribué et en théorie des jeux. Troisièmement, il répond à des défis réels : la concentration du pouvoir algorithmique, la violation de la vie privée, l’exclusion des communautés marginalisées. Quatrièmement, il propose un modèle de gouvernance innovant (DAO + PoUC + réputation) qui pourrait servir de référence pour d’autres systèmes décentralisés.</w:t>
      </w:r>
    </w:p>
    <w:p>
      <w:pPr>
        <w:spacing w:line="360" w:lineRule="auto" w:after="120"/>
        <w:ind w:firstLine="425"/>
        <w:jc w:val="both"/>
      </w:pPr>
      <w:r>
        <w:rPr>
          <w:rFonts w:ascii="Liberation Serif" w:hAnsi="Liberation Serif" w:cs="Liberation Serif"/>
          <w:b w:val="0"/>
          <w:i w:val="0"/>
          <w:color w:val="333333"/>
          <w:sz w:val="24"/>
        </w:rPr>
        <w:t>Cependant, le protocole présente aussi des limites significatives. Il ne dispose pas d’un cadre éthique ou philosophique explicite. La vision de la personne humaine y est implicite et essentiellement utilitariste : l’humain est un agent dont la valeur se mesure à sa contribution technique. Le protocole ne s’interroge pas sur les fondements anthropologiques de la dignité humaine, sur les limites que la technologie ne devrait pas franchir, ni sur les risques d’une instrumentalisation totale de la personne au service du système. Enfin, il n’aborde pas les questions de transhumanisme, de finitude humaine ou de vocation transcendante.</w:t>
      </w:r>
    </w:p>
    <w:p>
      <w:pPr>
        <w:pStyle w:val="Heading2"/>
      </w:pPr>
      <w:r>
        <w:rPr>
          <w:rFonts w:ascii="Liberation Sans" w:hAnsi="Liberation Sans"/>
          <w:b/>
          <w:color w:val="1B3A5C"/>
        </w:rPr>
        <w:t>4.2 Forces et limites de Magnifica Humanitas</w:t>
      </w:r>
    </w:p>
    <w:p>
      <w:pPr>
        <w:spacing w:line="360" w:lineRule="auto" w:after="120"/>
        <w:ind w:firstLine="425"/>
        <w:jc w:val="both"/>
      </w:pPr>
      <w:r>
        <w:rPr>
          <w:rFonts w:ascii="Liberation Serif" w:hAnsi="Liberation Serif" w:cs="Liberation Serif"/>
          <w:b w:val="0"/>
          <w:i w:val="0"/>
          <w:color w:val="333333"/>
          <w:sz w:val="24"/>
        </w:rPr>
        <w:t>L’encyclique Magnifica Humanitas présente également des forces remarquables. Sa vision éthique est profonde et articulée, ancrée dans une tradition de pensée multiséculaire. Son anthropologie riche, centrée sur la dignité ontologique de la personne comme imago Dei, offre un cadre de réflexion irremplaçable. Ses principes sont universels dans leur aspiration, susceptibles de résonner au-delà des frontières confessionnelles. L’autorité culturelle et morale de l’Église catholique confère au document une force de persuasion considérable, capable d’influencer les débats publics et les politiques législatives à l’échelle internationale.</w:t>
      </w:r>
    </w:p>
    <w:p>
      <w:pPr>
        <w:spacing w:line="360" w:lineRule="auto" w:after="120"/>
        <w:ind w:firstLine="425"/>
        <w:jc w:val="both"/>
      </w:pPr>
      <w:r>
        <w:rPr>
          <w:rFonts w:ascii="Liberation Serif" w:hAnsi="Liberation Serif" w:cs="Liberation Serif"/>
          <w:b w:val="0"/>
          <w:i w:val="0"/>
          <w:color w:val="333333"/>
          <w:sz w:val="24"/>
        </w:rPr>
        <w:t>Toutefois, l’encyclique présente des limites non négligeables. Elle ne propose aucune guidance technique pour la mise en oeuvre des principes qu’elle énonce. Comment, concrètement, implémenter la subsidiarité dans un système algorithmique ? Comment garantir la souveraineté des données au niveau technique ? L’encyclique repose sur la persuasion morale plutôt que sur l’enforcement structurel, ce qui limite sa capacité à contraindre les acteurs technologiques qui n’adhéreraient pas volontairement à ses principes. Enfin, elle peut être perçue comme idéaliste par les praticiens de l’IA, qui pourraient estimer que ses recommandations manquent de concrétude opérationnelle.</w:t>
      </w:r>
    </w:p>
    <w:p>
      <w:pPr>
        <w:pStyle w:val="Heading2"/>
      </w:pPr>
      <w:r>
        <w:rPr>
          <w:rFonts w:ascii="Liberation Sans" w:hAnsi="Liberation Sans"/>
          <w:b/>
          <w:color w:val="1B3A5C"/>
        </w:rPr>
        <w:t>4.3 Vers une synergie opérationnelle</w:t>
      </w:r>
    </w:p>
    <w:p>
      <w:pPr>
        <w:spacing w:line="360" w:lineRule="auto" w:after="120"/>
        <w:ind w:firstLine="425"/>
        <w:jc w:val="both"/>
      </w:pPr>
      <w:r>
        <w:rPr>
          <w:rFonts w:ascii="Liberation Serif" w:hAnsi="Liberation Serif" w:cs="Liberation Serif"/>
          <w:b w:val="0"/>
          <w:i w:val="0"/>
          <w:color w:val="333333"/>
          <w:sz w:val="24"/>
        </w:rPr>
        <w:t>La comparaison des deux documents révèle une complémentarité fructueuse. L’architecture technique du Protocole Ankh AI pourrait constituer le vecteur d’implémentation des principes articulés dans l’encyclique Magnifica Humanitas. Plusieurs exemples illustrent cette synergie potentielle.</w:t>
      </w:r>
    </w:p>
    <w:p>
      <w:pPr>
        <w:spacing w:line="360" w:lineRule="auto" w:after="120"/>
        <w:ind w:firstLine="425"/>
        <w:jc w:val="both"/>
      </w:pPr>
      <w:r>
        <w:rPr>
          <w:rFonts w:ascii="Liberation Serif" w:hAnsi="Liberation Serif" w:cs="Liberation Serif"/>
          <w:b w:val="0"/>
          <w:i w:val="0"/>
          <w:color w:val="333333"/>
          <w:sz w:val="24"/>
        </w:rPr>
        <w:t>Premièrement, la gouvernance par DAO incarne le principe de subsidiarité. Dans une DAO, les décisions sont prises au niveau le plus proche des acteurs concernés, chacun disposant d’un droit de vote proportionnel à sa contribution. Ce mécanisme réalise techniquement ce que l’encyclique appelle de ses voeux : une gouvernance participative où chaque personne a sa voix au chapitre.</w:t>
      </w:r>
    </w:p>
    <w:p>
      <w:pPr>
        <w:spacing w:line="360" w:lineRule="auto" w:after="120"/>
        <w:ind w:firstLine="425"/>
        <w:jc w:val="both"/>
      </w:pPr>
      <w:r>
        <w:rPr>
          <w:rFonts w:ascii="Liberation Serif" w:hAnsi="Liberation Serif" w:cs="Liberation Serif"/>
          <w:b w:val="0"/>
          <w:i w:val="0"/>
          <w:color w:val="333333"/>
          <w:sz w:val="24"/>
        </w:rPr>
        <w:t>Deuxièmement, les mécanismes de protection de la vie privée (DP, HE, sMPC) incarnent le respect de la dignité humaine. En garantissant que les données personnelles ne quittent jamais l’environnement local, le protocole protège ce que l’encyclique considère comme une dimension intime de la personne humaine, qui ne peut être exposée ni marchandée sans consentement.</w:t>
      </w:r>
    </w:p>
    <w:p>
      <w:pPr>
        <w:spacing w:line="360" w:lineRule="auto" w:after="120"/>
        <w:ind w:firstLine="425"/>
        <w:jc w:val="both"/>
      </w:pPr>
      <w:r>
        <w:rPr>
          <w:rFonts w:ascii="Liberation Serif" w:hAnsi="Liberation Serif" w:cs="Liberation Serif"/>
          <w:b w:val="0"/>
          <w:i w:val="0"/>
          <w:color w:val="333333"/>
          <w:sz w:val="24"/>
        </w:rPr>
        <w:t>Troisièmement, l’accès ouvert aux modèles et aux ressources du protocole incarne le principe de la destination universelle des biens. Si les fruits de l’intelligence artificielle sont mis à la disposition de tous, sans barrière économique ou géographique, alors la technologie sert effectivement le bien commun, comme l’exige la doctrine sociale.</w:t>
      </w:r>
    </w:p>
    <w:p>
      <w:pPr>
        <w:spacing w:line="360" w:lineRule="auto" w:after="120"/>
        <w:ind w:firstLine="425"/>
        <w:jc w:val="both"/>
      </w:pPr>
      <w:r>
        <w:rPr>
          <w:rFonts w:ascii="Liberation Serif" w:hAnsi="Liberation Serif" w:cs="Liberation Serif"/>
          <w:b w:val="0"/>
          <w:i w:val="0"/>
          <w:color w:val="333333"/>
          <w:sz w:val="24"/>
        </w:rPr>
        <w:t>En somme, l’encyclique fournit la boussole éthique dont le protocole a besoin pour orienter son développement, tandis que le protocole fournit les moyens techniques dont l’encyclique appelle la mise en oeuvre. Ensemble, ces deux documents proposent une réponse plus complète et plus robuste aux défis posés par l’IA que chacun pris isolément.</w:t>
      </w:r>
    </w:p>
    <w:p>
      <w:pPr>
        <w:spacing w:line="360" w:lineRule="auto" w:after="120"/>
        <w:ind w:firstLine="425"/>
        <w:jc w:val="both"/>
      </w:pPr>
      <w:r>
        <w:rPr>
          <w:rFonts w:ascii="Liberation Serif" w:hAnsi="Liberation Serif" w:cs="Liberation Serif"/>
          <w:b w:val="0"/>
          <w:i w:val="0"/>
          <w:color w:val="333333"/>
          <w:sz w:val="24"/>
        </w:rPr>
        <w:t>Prenons un exemple concret pour illustrer cette synergie. Imaginons un systeme de diagnostic medical fonde sur le Protocole Ankh AI. Grace a l'architecture P2P et a l'entrainement fédéré, des hopitaux du monde entier pourraient collaborer a l'amelioration du modele sans jamais partager les donnees sensibles de leurs patients. La DAO garantirait que chaque hopital, quelle que soit sa taille ou sa localisation, participe equitablement aux decisions. Les mecanismes de reputation assureraient la qualite des contributions. Mais c'est l'encyclique qui fournirait le cadre éthique indispensable pour definir les limites de cette utilisation : jusqu'ou peut-on aller dans le diagnostic automatise ? Quel est le statut de la relation medecin-patient face a l'algorithme ? Comment garantir que les populations les plus vulnérables ne soient pas exclues de ces avancees ? Sans la reflexion éthique, la technique seule risquerait de reproduire les mecanismes d'exclusion qu'elle pretend combattre.</w:t>
      </w:r>
    </w:p>
    <w:p>
      <w:pPr>
        <w:spacing w:line="360" w:lineRule="auto" w:after="120"/>
        <w:ind w:firstLine="425"/>
        <w:jc w:val="both"/>
      </w:pPr>
      <w:r>
        <w:rPr>
          <w:rFonts w:ascii="Liberation Serif" w:hAnsi="Liberation Serif" w:cs="Liberation Serif"/>
          <w:b w:val="0"/>
          <w:i w:val="0"/>
          <w:color w:val="333333"/>
          <w:sz w:val="24"/>
        </w:rPr>
        <w:t>Ce modele de synergie pourrait etre transpose a de nombreux domaines : l'education, la justice, l'agriculture, la gestion environnementale. Dans chaque cas, le protocole technique fournirait les outils de décentralisation et de collaboration, tandis que le cadre éthique assurerait que ces outils sont utilises dans le respect de la dignite humaine et du bien commun. La valeur ajoutee de cette synergie reside precisement dans sa capacite a articuler le feasable technique et le desirable éthique, evitant ainsi les deux ecueils symetriques du technosolutionisme aveugle et du moralisme inoperant.</w:t>
      </w:r>
    </w:p>
    <w:p/>
    <w:p>
      <w:pPr>
        <w:spacing w:after="200"/>
        <w:jc w:val="center"/>
      </w:pPr>
      <w:r>
        <w:rPr>
          <w:rFonts w:ascii="Liberation Sans" w:hAnsi="Liberation Sans" w:cs="Liberation Sans"/>
          <w:b/>
          <w:i/>
          <w:color w:val="1B3A5C"/>
          <w:sz w:val="20"/>
        </w:rPr>
        <w:t>Tableau 2 : Synergie entre Principes Éthiques et Implémentation Technique</w:t>
      </w:r>
    </w:p>
    <w:tbl>
      <w:tblPr>
        <w:tblStyle w:val="TableGrid"/>
        <w:tblW w:type="auto" w:w="0"/>
        <w:jc w:val="center"/>
        <w:tblLook w:firstColumn="1" w:firstRow="1" w:lastColumn="0" w:lastRow="0" w:noHBand="0" w:noVBand="1" w:val="04A0"/>
      </w:tblPr>
      <w:tblGrid>
        <w:gridCol w:w="2771"/>
        <w:gridCol w:w="2771"/>
        <w:gridCol w:w="2771"/>
      </w:tblGrid>
      <w:tr>
        <w:tc>
          <w:tcPr>
            <w:tcW w:type="dxa" w:w="2551"/>
            <w:shd w:fill="E8ECF0"/>
          </w:tcPr>
          <w:p>
            <w:pPr>
              <w:jc w:val="center"/>
            </w:pPr>
            <w:r/>
            <w:r>
              <w:rPr>
                <w:rFonts w:ascii="Liberation Sans" w:hAnsi="Liberation Sans"/>
                <w:b/>
                <w:color w:val="1B3A5C"/>
                <w:sz w:val="18"/>
              </w:rPr>
              <w:t>Principe (Encyclique)</w:t>
            </w:r>
          </w:p>
        </w:tc>
        <w:tc>
          <w:tcPr>
            <w:tcW w:type="dxa" w:w="3118"/>
            <w:shd w:fill="E8ECF0"/>
          </w:tcPr>
          <w:p>
            <w:pPr>
              <w:jc w:val="center"/>
            </w:pPr>
            <w:r/>
            <w:r>
              <w:rPr>
                <w:rFonts w:ascii="Liberation Sans" w:hAnsi="Liberation Sans"/>
                <w:b/>
                <w:color w:val="1B3A5C"/>
                <w:sz w:val="18"/>
              </w:rPr>
              <w:t>Implémentation (Protocole Ankh AI)</w:t>
            </w:r>
          </w:p>
        </w:tc>
        <w:tc>
          <w:tcPr>
            <w:tcW w:type="dxa" w:w="2835"/>
            <w:shd w:fill="E8ECF0"/>
          </w:tcPr>
          <w:p>
            <w:pPr>
              <w:jc w:val="center"/>
            </w:pPr>
            <w:r/>
            <w:r>
              <w:rPr>
                <w:rFonts w:ascii="Liberation Sans" w:hAnsi="Liberation Sans"/>
                <w:b/>
                <w:color w:val="1B3A5C"/>
                <w:sz w:val="18"/>
              </w:rPr>
              <w:t>Effet Concret</w:t>
            </w:r>
          </w:p>
        </w:tc>
      </w:tr>
      <w:tr>
        <w:tc>
          <w:tcPr>
            <w:tcW w:type="dxa" w:w="2551"/>
          </w:tcPr>
          <w:p>
            <w:r/>
            <w:r>
              <w:rPr>
                <w:rFonts w:ascii="Liberation Sans" w:hAnsi="Liberation Sans"/>
                <w:b/>
                <w:color w:val="1B3A5C"/>
                <w:sz w:val="18"/>
              </w:rPr>
              <w:t>Subsidiarité : décisions au plus près des personnes</w:t>
            </w:r>
          </w:p>
        </w:tc>
        <w:tc>
          <w:tcPr>
            <w:tcW w:type="dxa" w:w="3118"/>
          </w:tcPr>
          <w:p>
            <w:r/>
            <w:r>
              <w:rPr>
                <w:rFonts w:ascii="Liberation Serif" w:hAnsi="Liberation Serif"/>
                <w:color w:val="333333"/>
                <w:sz w:val="18"/>
              </w:rPr>
              <w:t>Gouvernance DAO avec vote proportionnel</w:t>
            </w:r>
          </w:p>
        </w:tc>
        <w:tc>
          <w:tcPr>
            <w:tcW w:type="dxa" w:w="2835"/>
          </w:tcPr>
          <w:p>
            <w:r/>
            <w:r>
              <w:rPr>
                <w:rFonts w:ascii="Liberation Serif" w:hAnsi="Liberation Serif"/>
                <w:color w:val="333333"/>
                <w:sz w:val="18"/>
              </w:rPr>
              <w:t>Chaque participant décide de son niveau d’engagement</w:t>
            </w:r>
          </w:p>
        </w:tc>
      </w:tr>
      <w:tr>
        <w:tc>
          <w:tcPr>
            <w:tcW w:type="dxa" w:w="2551"/>
            <w:shd w:fill="F2F5F8"/>
          </w:tcPr>
          <w:p>
            <w:r/>
            <w:r>
              <w:rPr>
                <w:rFonts w:ascii="Liberation Sans" w:hAnsi="Liberation Sans"/>
                <w:b/>
                <w:color w:val="1B3A5C"/>
                <w:sz w:val="18"/>
              </w:rPr>
              <w:t>Dignité humaine et respect de la vie privée</w:t>
            </w:r>
          </w:p>
        </w:tc>
        <w:tc>
          <w:tcPr>
            <w:tcW w:type="dxa" w:w="3118"/>
            <w:shd w:fill="F2F5F8"/>
          </w:tcPr>
          <w:p>
            <w:r/>
            <w:r>
              <w:rPr>
                <w:rFonts w:ascii="Liberation Serif" w:hAnsi="Liberation Serif"/>
                <w:color w:val="333333"/>
                <w:sz w:val="18"/>
              </w:rPr>
              <w:t>DP, HE, sMPC ; données locales</w:t>
            </w:r>
          </w:p>
        </w:tc>
        <w:tc>
          <w:tcPr>
            <w:tcW w:type="dxa" w:w="2835"/>
            <w:shd w:fill="F2F5F8"/>
          </w:tcPr>
          <w:p>
            <w:r/>
            <w:r>
              <w:rPr>
                <w:rFonts w:ascii="Liberation Serif" w:hAnsi="Liberation Serif"/>
                <w:color w:val="333333"/>
                <w:sz w:val="18"/>
              </w:rPr>
              <w:t>Les données personnelles ne sont jamais exposées</w:t>
            </w:r>
          </w:p>
        </w:tc>
      </w:tr>
      <w:tr>
        <w:tc>
          <w:tcPr>
            <w:tcW w:type="dxa" w:w="2551"/>
          </w:tcPr>
          <w:p>
            <w:r/>
            <w:r>
              <w:rPr>
                <w:rFonts w:ascii="Liberation Sans" w:hAnsi="Liberation Sans"/>
                <w:b/>
                <w:color w:val="1B3A5C"/>
                <w:sz w:val="18"/>
              </w:rPr>
              <w:t>Destination universelle des biens</w:t>
            </w:r>
          </w:p>
        </w:tc>
        <w:tc>
          <w:tcPr>
            <w:tcW w:type="dxa" w:w="3118"/>
          </w:tcPr>
          <w:p>
            <w:r/>
            <w:r>
              <w:rPr>
                <w:rFonts w:ascii="Liberation Serif" w:hAnsi="Liberation Serif"/>
                <w:color w:val="333333"/>
                <w:sz w:val="18"/>
              </w:rPr>
              <w:t>Open access aux modèles et ressources</w:t>
            </w:r>
          </w:p>
        </w:tc>
        <w:tc>
          <w:tcPr>
            <w:tcW w:type="dxa" w:w="2835"/>
          </w:tcPr>
          <w:p>
            <w:r/>
            <w:r>
              <w:rPr>
                <w:rFonts w:ascii="Liberation Serif" w:hAnsi="Liberation Serif"/>
                <w:color w:val="333333"/>
                <w:sz w:val="18"/>
              </w:rPr>
              <w:t>Accès équitable aux fruits de l’IA</w:t>
            </w:r>
          </w:p>
        </w:tc>
      </w:tr>
      <w:tr>
        <w:tc>
          <w:tcPr>
            <w:tcW w:type="dxa" w:w="2551"/>
            <w:shd w:fill="F2F5F8"/>
          </w:tcPr>
          <w:p>
            <w:r/>
            <w:r>
              <w:rPr>
                <w:rFonts w:ascii="Liberation Sans" w:hAnsi="Liberation Sans"/>
                <w:b/>
                <w:color w:val="1B3A5C"/>
                <w:sz w:val="18"/>
              </w:rPr>
              <w:t>Justice sociale et option pour les pauvres</w:t>
            </w:r>
          </w:p>
        </w:tc>
        <w:tc>
          <w:tcPr>
            <w:tcW w:type="dxa" w:w="3118"/>
            <w:shd w:fill="F2F5F8"/>
          </w:tcPr>
          <w:p>
            <w:r/>
            <w:r>
              <w:rPr>
                <w:rFonts w:ascii="Liberation Serif" w:hAnsi="Liberation Serif"/>
                <w:color w:val="333333"/>
                <w:sz w:val="18"/>
              </w:rPr>
              <w:t>Mécanisme d’incitation équitable</w:t>
            </w:r>
          </w:p>
        </w:tc>
        <w:tc>
          <w:tcPr>
            <w:tcW w:type="dxa" w:w="2835"/>
            <w:shd w:fill="F2F5F8"/>
          </w:tcPr>
          <w:p>
            <w:r/>
            <w:r>
              <w:rPr>
                <w:rFonts w:ascii="Liberation Serif" w:hAnsi="Liberation Serif"/>
                <w:color w:val="333333"/>
                <w:sz w:val="18"/>
              </w:rPr>
              <w:t>Même les petits contributeurs sont récompensés</w:t>
            </w:r>
          </w:p>
        </w:tc>
      </w:tr>
      <w:tr>
        <w:tc>
          <w:tcPr>
            <w:tcW w:type="dxa" w:w="2551"/>
          </w:tcPr>
          <w:p>
            <w:r/>
            <w:r>
              <w:rPr>
                <w:rFonts w:ascii="Liberation Sans" w:hAnsi="Liberation Sans"/>
                <w:b/>
                <w:color w:val="1B3A5C"/>
                <w:sz w:val="18"/>
              </w:rPr>
              <w:t>Transparence et responsabilité</w:t>
            </w:r>
          </w:p>
        </w:tc>
        <w:tc>
          <w:tcPr>
            <w:tcW w:type="dxa" w:w="3118"/>
          </w:tcPr>
          <w:p>
            <w:r/>
            <w:r>
              <w:rPr>
                <w:rFonts w:ascii="Liberation Serif" w:hAnsi="Liberation Serif"/>
                <w:color w:val="333333"/>
                <w:sz w:val="18"/>
              </w:rPr>
              <w:t>Traçabilité immutable, système de réputation</w:t>
            </w:r>
          </w:p>
        </w:tc>
        <w:tc>
          <w:tcPr>
            <w:tcW w:type="dxa" w:w="2835"/>
          </w:tcPr>
          <w:p>
            <w:r/>
            <w:r>
              <w:rPr>
                <w:rFonts w:ascii="Liberation Serif" w:hAnsi="Liberation Serif"/>
                <w:color w:val="333333"/>
                <w:sz w:val="18"/>
              </w:rPr>
              <w:t>Chaque action est vérifiable et responsabilisée</w:t>
            </w:r>
          </w:p>
        </w:tc>
      </w:tr>
      <w:tr>
        <w:tc>
          <w:tcPr>
            <w:tcW w:type="dxa" w:w="2551"/>
            <w:shd w:fill="F2F5F8"/>
          </w:tcPr>
          <w:p>
            <w:r/>
            <w:r>
              <w:rPr>
                <w:rFonts w:ascii="Liberation Sans" w:hAnsi="Liberation Sans"/>
                <w:b/>
                <w:color w:val="1B3A5C"/>
                <w:sz w:val="18"/>
              </w:rPr>
              <w:t>Lutte contre les monopoles</w:t>
            </w:r>
          </w:p>
        </w:tc>
        <w:tc>
          <w:tcPr>
            <w:tcW w:type="dxa" w:w="3118"/>
            <w:shd w:fill="F2F5F8"/>
          </w:tcPr>
          <w:p>
            <w:r/>
            <w:r>
              <w:rPr>
                <w:rFonts w:ascii="Liberation Serif" w:hAnsi="Liberation Serif"/>
                <w:color w:val="333333"/>
                <w:sz w:val="18"/>
              </w:rPr>
              <w:t>Architecture P2P décentralisée</w:t>
            </w:r>
          </w:p>
        </w:tc>
        <w:tc>
          <w:tcPr>
            <w:tcW w:type="dxa" w:w="2835"/>
            <w:shd w:fill="F2F5F8"/>
          </w:tcPr>
          <w:p>
            <w:r/>
            <w:r>
              <w:rPr>
                <w:rFonts w:ascii="Liberation Serif" w:hAnsi="Liberation Serif"/>
                <w:color w:val="333333"/>
                <w:sz w:val="18"/>
              </w:rPr>
              <w:t>Aucun acteur ne peut contrôler le système</w:t>
            </w:r>
          </w:p>
        </w:tc>
      </w:tr>
    </w:tbl>
    <w:p/>
    <w:p>
      <w:pPr>
        <w:pStyle w:val="Heading1"/>
        <w:pBdr>
          <w:bottom w:val="single" w:sz="8" w:space="4" w:color="1B3A5C"/>
        </w:pBdr>
      </w:pPr>
      <w:r>
        <w:rPr>
          <w:rFonts w:ascii="Liberation Sans" w:hAnsi="Liberation Sans"/>
          <w:b/>
          <w:color w:val="1B3A5C"/>
        </w:rPr>
        <w:t>5. Conclusion et Perspectives</w:t>
      </w:r>
    </w:p>
    <w:p>
      <w:pPr>
        <w:spacing w:line="360" w:lineRule="auto" w:after="120"/>
        <w:ind w:firstLine="425"/>
        <w:jc w:val="both"/>
      </w:pPr>
      <w:r>
        <w:rPr>
          <w:rFonts w:ascii="Liberation Serif" w:hAnsi="Liberation Serif" w:cs="Liberation Serif"/>
          <w:b w:val="0"/>
          <w:i w:val="0"/>
          <w:color w:val="333333"/>
          <w:sz w:val="24"/>
        </w:rPr>
        <w:t>La présente analyse comparative a mis en lumière la convergence remarquable entre deux documents qui, à première vue, n’auraient pas pu être plus différents. Le Protocole Ankh AI, white paper technique proposé par un ingénieur et conseiller en IA, et l’encyclique Magnifica Humanitas, document magistériel du successeur de Saint Pierre, abordent tous deux la question cruciale de la gouvernance de l’intelligence artificielle avec une profondeur et une rigueur qui méritent l’attention.</w:t>
      </w:r>
    </w:p>
    <w:p>
      <w:pPr>
        <w:spacing w:line="360" w:lineRule="auto" w:after="120"/>
        <w:ind w:firstLine="425"/>
        <w:jc w:val="both"/>
      </w:pPr>
      <w:r>
        <w:rPr>
          <w:rFonts w:ascii="Liberation Serif" w:hAnsi="Liberation Serif" w:cs="Liberation Serif"/>
          <w:b w:val="0"/>
          <w:i w:val="0"/>
          <w:color w:val="333333"/>
          <w:sz w:val="24"/>
        </w:rPr>
        <w:t>Nos résultats sont sans appel : sur les axes fondamentaux de la décentralisation du pouvoir, de la souveraineté des données, de la transparence, de la responsabilité et de l’équité, les deux documents convergent vers les mêmes conclusions. Le protocole technique et la réflexion magistérielle aboutissent à un consensus transdisciplinaire : l’IA doit être décentralisée, transparente, responsable et au service du bien commun. Cette convergence n’est pas anodine ; elle témoigne d’une intelligence collective qui transcende les clivages entre science et humanités, entre technique et éthique.</w:t>
      </w:r>
    </w:p>
    <w:p>
      <w:pPr>
        <w:spacing w:line="360" w:lineRule="auto" w:after="120"/>
        <w:ind w:firstLine="425"/>
        <w:jc w:val="both"/>
      </w:pPr>
      <w:r>
        <w:rPr>
          <w:rFonts w:ascii="Liberation Serif" w:hAnsi="Liberation Serif" w:cs="Liberation Serif"/>
          <w:b w:val="0"/>
          <w:i w:val="0"/>
          <w:color w:val="333333"/>
          <w:sz w:val="24"/>
        </w:rPr>
        <w:t>Parallèlement, nous avons identifié des divergences significatives — et fécondantes — entre les deux approches. La nature technique du protocole et la nature normative de l’encyclique, le cadre de référence scientifique et le cadre doctrinal, la vision fonctionnelle et la vision transcendante de la personne humaine : ces différences ne s’opposent pas mais se complètent. Le protocole offre les plans d’architecte d’un système décentralisé ; l’encyclique fournit la vision d’un humanisme intégral. L’un dit comment construire ; l’autre dit pourquoi construire.</w:t>
      </w:r>
    </w:p>
    <w:p>
      <w:pPr>
        <w:spacing w:line="360" w:lineRule="auto" w:after="120"/>
        <w:ind w:firstLine="425"/>
        <w:jc w:val="both"/>
      </w:pPr>
      <w:r>
        <w:rPr>
          <w:rFonts w:ascii="Liberation Serif" w:hAnsi="Liberation Serif" w:cs="Liberation Serif"/>
          <w:b w:val="0"/>
          <w:i w:val="0"/>
          <w:color w:val="333333"/>
          <w:sz w:val="24"/>
        </w:rPr>
        <w:t>Les perspectives ouvertes par cette analyse sont considérables. À mesure que l’intelligence artificielle continue de transformer chaque secteur de la société, la nécessité d’un dialogue entre communautés techniques et morales ne fera que s’accentuer. Les ingénieurs et les développeurs ont besoin d’un cadre éthique pour orienter leurs choix de conception ; les éthiciens et les décideurs politiques ont besoin de comprendre les possibilités et les limites de la technologie pour formuler des recommandations réalistes. Ce dialogue, encore naissant, doit être cultivé et approfondi.</w:t>
      </w:r>
    </w:p>
    <w:p>
      <w:pPr>
        <w:spacing w:line="360" w:lineRule="auto" w:after="120"/>
        <w:ind w:firstLine="425"/>
        <w:jc w:val="both"/>
      </w:pPr>
      <w:r>
        <w:rPr>
          <w:rFonts w:ascii="Liberation Serif" w:hAnsi="Liberation Serif" w:cs="Liberation Serif"/>
          <w:b w:val="0"/>
          <w:i w:val="0"/>
          <w:color w:val="333333"/>
          <w:sz w:val="24"/>
        </w:rPr>
        <w:t>En définitive, la construction d’une « Jérusalem » numérique — c’est-à-dire d’un espace technologique au service de la fraternité humaine et non de la domination de quelques-uns — exige à la fois les plans d’architecte que propose le Protocole Ankh AI et la vision spirituelle que déploie l’encyclique Magnifica Humanitas. L’intelligence artificielle ne sera véritablement au service de l’humanité que lorsque la rigueur technique et la profondeur éthique marcheront main dans la main.</w:t>
      </w:r>
    </w:p>
    <w:p>
      <w:pPr>
        <w:spacing w:line="360" w:lineRule="auto" w:after="120"/>
        <w:ind w:firstLine="425"/>
        <w:jc w:val="both"/>
      </w:pPr>
      <w:r>
        <w:rPr>
          <w:rFonts w:ascii="Liberation Serif" w:hAnsi="Liberation Serif" w:cs="Liberation Serif"/>
          <w:b w:val="0"/>
          <w:i w:val="0"/>
          <w:color w:val="333333"/>
          <w:sz w:val="24"/>
        </w:rPr>
        <w:t>En conclusion, cette analyse comparative demontre que le dialogue entre science et humanites, entre ingenierie et éthique, entre innovation technologique et sagesse philosophique, n'est pas un luxe intellectuel mais une necessite pratique. L'intelligence artificielle est trop importante pour etre laissee aux seuls techniciens, et trop complexe pour etre gouvernee par les seuls moralistes. C'est a l'intersection de ces deux mondes que se construiront les reponses les plus robustes, les plus justes et les plus durables aux defis poses par cette technologie transformatrice.</w:t>
      </w:r>
    </w:p>
    <w:p>
      <w:pPr>
        <w:pStyle w:val="Heading1"/>
        <w:pBdr>
          <w:bottom w:val="single" w:sz="8" w:space="4" w:color="1B3A5C"/>
        </w:pBdr>
      </w:pPr>
      <w:r>
        <w:rPr>
          <w:rFonts w:ascii="Liberation Sans" w:hAnsi="Liberation Sans"/>
          <w:b/>
          <w:color w:val="1B3A5C"/>
        </w:rPr>
        <w:t>Références</w:t>
      </w:r>
    </w:p>
    <w:p>
      <w:pPr>
        <w:spacing w:after="80" w:line="240" w:lineRule="auto"/>
        <w:ind w:hanging="720" w:left="720"/>
      </w:pPr>
      <w:r>
        <w:rPr>
          <w:rFonts w:ascii="Liberation Serif" w:hAnsi="Liberation Serif" w:cs="Liberation Serif"/>
          <w:b w:val="0"/>
          <w:i w:val="0"/>
          <w:color w:val="333333"/>
          <w:sz w:val="20"/>
        </w:rPr>
        <w:t>TAMPOLLA, S.D. (2026). Le Protocole Ankh AI : Intelligence Artificielle Collaborative Décentralisée. White Paper.</w:t>
      </w:r>
    </w:p>
    <w:p>
      <w:pPr>
        <w:spacing w:after="80" w:line="240" w:lineRule="auto"/>
        <w:ind w:hanging="720" w:left="720"/>
      </w:pPr>
      <w:r>
        <w:rPr>
          <w:rFonts w:ascii="Liberation Serif" w:hAnsi="Liberation Serif" w:cs="Liberation Serif"/>
          <w:b w:val="0"/>
          <w:i w:val="0"/>
          <w:color w:val="333333"/>
          <w:sz w:val="20"/>
        </w:rPr>
        <w:t>LÉON XIV (2026). Lettre Encyclique Magnifica Humanitas. Vatican. Disponible sur : http://www.vatican.va</w:t>
      </w:r>
    </w:p>
    <w:p>
      <w:pPr>
        <w:spacing w:after="80" w:line="240" w:lineRule="auto"/>
        <w:ind w:hanging="720" w:left="720"/>
      </w:pPr>
      <w:r>
        <w:rPr>
          <w:rFonts w:ascii="Liberation Serif" w:hAnsi="Liberation Serif" w:cs="Liberation Serif"/>
          <w:b w:val="0"/>
          <w:i w:val="0"/>
          <w:color w:val="333333"/>
          <w:sz w:val="20"/>
        </w:rPr>
        <w:t>HARRIS, J., Bhadauria, R., Horgan, J. et Hohman, F. (2019). Decentralized &amp; Collaborative AI on Blockchain. arXiv:1907.07247.</w:t>
      </w:r>
    </w:p>
    <w:p>
      <w:pPr>
        <w:spacing w:after="80" w:line="240" w:lineRule="auto"/>
        <w:ind w:hanging="720" w:left="720"/>
      </w:pPr>
      <w:r>
        <w:rPr>
          <w:rFonts w:ascii="Liberation Serif" w:hAnsi="Liberation Serif" w:cs="Liberation Serif"/>
          <w:b w:val="0"/>
          <w:i w:val="0"/>
          <w:color w:val="333333"/>
          <w:sz w:val="20"/>
        </w:rPr>
        <w:t>McMAHAN, H.B., Moore, E., Ramage, D., Hampson, S. et Arcas, B.A. (2017). Communication-Efficient Learning of Deep Networks from Decentralized Data. AISTATS.</w:t>
      </w:r>
    </w:p>
    <w:p>
      <w:pPr>
        <w:spacing w:after="80" w:line="240" w:lineRule="auto"/>
        <w:ind w:hanging="720" w:left="720"/>
      </w:pPr>
      <w:r>
        <w:rPr>
          <w:rFonts w:ascii="Liberation Serif" w:hAnsi="Liberation Serif" w:cs="Liberation Serif"/>
          <w:b w:val="0"/>
          <w:i w:val="0"/>
          <w:color w:val="333333"/>
          <w:sz w:val="20"/>
        </w:rPr>
        <w:t>SCHWAB, K. (2016). The Fourth Industrial Revolution. World Economic Forum.</w:t>
      </w:r>
    </w:p>
    <w:p>
      <w:pPr>
        <w:spacing w:after="80" w:line="240" w:lineRule="auto"/>
        <w:ind w:hanging="720" w:left="720"/>
      </w:pPr>
      <w:r>
        <w:rPr>
          <w:rFonts w:ascii="Liberation Serif" w:hAnsi="Liberation Serif" w:cs="Liberation Serif"/>
          <w:b w:val="0"/>
          <w:i w:val="0"/>
          <w:color w:val="333333"/>
          <w:sz w:val="20"/>
        </w:rPr>
        <w:t>UNESCO (2021). Recommendation on the Ethics of Artificial Intelligence.</w:t>
      </w:r>
    </w:p>
    <w:p>
      <w:pPr>
        <w:spacing w:after="80" w:line="240" w:lineRule="auto"/>
        <w:ind w:hanging="720" w:left="720"/>
      </w:pPr>
      <w:r>
        <w:rPr>
          <w:rFonts w:ascii="Liberation Serif" w:hAnsi="Liberation Serif" w:cs="Liberation Serif"/>
          <w:b w:val="0"/>
          <w:i w:val="0"/>
          <w:color w:val="333333"/>
          <w:sz w:val="20"/>
        </w:rPr>
        <w:t>McKINSEY GLOBAL INSTITUTE (2025). What is Industry 4.0 and the Fourth Industrial Revolution?</w:t>
      </w:r>
    </w:p>
    <w:p>
      <w:pPr>
        <w:spacing w:after="80" w:line="240" w:lineRule="auto"/>
        <w:ind w:hanging="720" w:left="720"/>
      </w:pPr>
      <w:r>
        <w:rPr>
          <w:rFonts w:ascii="Liberation Serif" w:hAnsi="Liberation Serif" w:cs="Liberation Serif"/>
          <w:b w:val="0"/>
          <w:i w:val="0"/>
          <w:color w:val="333333"/>
          <w:sz w:val="20"/>
        </w:rPr>
        <w:t>VATICAN NEWS (2026). Pope Léon XIV : Magnifica Humanitas : AI Must Serve Humanity.</w:t>
      </w:r>
    </w:p>
    <w:p>
      <w:pPr>
        <w:spacing w:after="80" w:line="240" w:lineRule="auto"/>
        <w:ind w:hanging="720" w:left="720"/>
      </w:pPr>
      <w:r>
        <w:rPr>
          <w:rFonts w:ascii="Liberation Serif" w:hAnsi="Liberation Serif" w:cs="Liberation Serif"/>
          <w:b w:val="0"/>
          <w:i w:val="0"/>
          <w:color w:val="333333"/>
          <w:sz w:val="20"/>
        </w:rPr>
        <w:t>CNET (2026). « Disarm AI » : Pope Léon XIV Calls Out Big Tech’s All-Consuming Obsession.</w:t>
      </w:r>
    </w:p>
    <w:p>
      <w:pPr>
        <w:spacing w:after="80" w:line="240" w:lineRule="auto"/>
        <w:ind w:hanging="720" w:left="720"/>
      </w:pPr>
      <w:r>
        <w:rPr>
          <w:rFonts w:ascii="Liberation Serif" w:hAnsi="Liberation Serif" w:cs="Liberation Serif"/>
          <w:b w:val="0"/>
          <w:i w:val="0"/>
          <w:color w:val="333333"/>
          <w:sz w:val="20"/>
        </w:rPr>
        <w:t>FAST COMPANY (2026). Pope Léon XIV’s AI Encyclical Is Getting a Mixed Reception from the Tech World.</w:t>
      </w:r>
    </w:p>
    <w:p>
      <w:pPr>
        <w:spacing w:after="80" w:line="240" w:lineRule="auto"/>
        <w:ind w:hanging="720" w:left="720"/>
      </w:pPr>
      <w:r>
        <w:rPr>
          <w:rFonts w:ascii="Liberation Serif" w:hAnsi="Liberation Serif" w:cs="Liberation Serif"/>
          <w:b w:val="0"/>
          <w:i w:val="0"/>
          <w:color w:val="333333"/>
          <w:sz w:val="20"/>
        </w:rPr>
        <w:t>BENDER, E.M., Gebru, T., McMillan-Major, A. et Shmitchell, S. (2021). On the Dangers of Stochastic Parrots : Can Language Models Be Too Big? FAccT 2021.</w:t>
      </w:r>
    </w:p>
    <w:p>
      <w:pPr>
        <w:spacing w:after="80" w:line="240" w:lineRule="auto"/>
        <w:ind w:hanging="720" w:left="720"/>
      </w:pPr>
      <w:r>
        <w:rPr>
          <w:rFonts w:ascii="Liberation Serif" w:hAnsi="Liberation Serif" w:cs="Liberation Serif"/>
          <w:b w:val="0"/>
          <w:i w:val="0"/>
          <w:color w:val="333333"/>
          <w:sz w:val="20"/>
        </w:rPr>
        <w:t>ZUBOFF, S. (2019). The Age of Surveillance Capitalism : The Fight for a Human Future at the New Frontier of Power. PublicAffairs.</w:t>
      </w:r>
    </w:p>
    <w:p>
      <w:pPr>
        <w:spacing w:after="80" w:line="240" w:lineRule="auto"/>
        <w:ind w:hanging="720" w:left="720"/>
      </w:pPr>
      <w:r>
        <w:rPr>
          <w:rFonts w:ascii="Liberation Serif" w:hAnsi="Liberation Serif" w:cs="Liberation Serif"/>
          <w:b w:val="0"/>
          <w:i w:val="0"/>
          <w:color w:val="333333"/>
          <w:sz w:val="20"/>
        </w:rPr>
        <w:t>INSTITUTE FOR DECENTRALIZED AI (2025). Research on Decentralized Intelligence : White Paper Series.</w:t>
      </w:r>
    </w:p>
    <w:p>
      <w:pPr>
        <w:spacing w:after="80" w:line="240" w:lineRule="auto"/>
        <w:ind w:hanging="720" w:left="720"/>
      </w:pPr>
      <w:r>
        <w:rPr>
          <w:rFonts w:ascii="Liberation Serif" w:hAnsi="Liberation Serif" w:cs="Liberation Serif"/>
          <w:b w:val="0"/>
          <w:i w:val="0"/>
          <w:color w:val="333333"/>
          <w:sz w:val="20"/>
        </w:rPr>
        <w:t>CHAINOPERA AI (2025). ChainOpera AI Roadmap : Decentralized AI for Everyone. Disponible sur : https://paper.chainopera.ai</w:t>
      </w:r>
    </w:p>
    <w:p>
      <w:pPr>
        <w:spacing w:after="80" w:line="240" w:lineRule="auto"/>
        <w:ind w:hanging="720" w:left="720"/>
      </w:pPr>
      <w:r>
        <w:rPr>
          <w:rFonts w:ascii="Liberation Serif" w:hAnsi="Liberation Serif" w:cs="Liberation Serif"/>
          <w:b w:val="0"/>
          <w:i w:val="0"/>
          <w:color w:val="333333"/>
          <w:sz w:val="20"/>
        </w:rPr>
        <w:t>FLOCK.IO (2024). A Critical &amp; Systematic Understanding of the Decentralized AI Paradigm. Technical Report.</w:t>
      </w:r>
    </w:p>
    <w:p>
      <w:pPr>
        <w:spacing w:after="80" w:line="240" w:lineRule="auto"/>
        <w:ind w:hanging="720" w:left="720"/>
      </w:pPr>
      <w:r>
        <w:rPr>
          <w:rFonts w:ascii="Liberation Serif" w:hAnsi="Liberation Serif" w:cs="Liberation Serif"/>
          <w:b w:val="0"/>
          <w:i w:val="0"/>
          <w:color w:val="333333"/>
          <w:sz w:val="20"/>
        </w:rPr>
        <w:t>LÉON XIII (1891). Lettre Encyclique Rerum Novarum. Vatican.</w:t>
      </w:r>
    </w:p>
    <w:p>
      <w:pPr>
        <w:spacing w:after="80" w:line="240" w:lineRule="auto"/>
        <w:ind w:hanging="720" w:left="720"/>
      </w:pPr>
      <w:r>
        <w:rPr>
          <w:rFonts w:ascii="Liberation Serif" w:hAnsi="Liberation Serif" w:cs="Liberation Serif"/>
          <w:b w:val="0"/>
          <w:i w:val="0"/>
          <w:color w:val="333333"/>
          <w:sz w:val="20"/>
        </w:rPr>
        <w:t>JEAN-PAUL II (1991). Lettre Encyclique Centesimus Annus. Vatican.</w:t>
      </w:r>
    </w:p>
    <w:p>
      <w:pPr>
        <w:spacing w:after="80" w:line="240" w:lineRule="auto"/>
        <w:ind w:hanging="720" w:left="720"/>
      </w:pPr>
      <w:r>
        <w:rPr>
          <w:rFonts w:ascii="Liberation Serif" w:hAnsi="Liberation Serif" w:cs="Liberation Serif"/>
          <w:b w:val="0"/>
          <w:i w:val="0"/>
          <w:color w:val="333333"/>
          <w:sz w:val="20"/>
        </w:rPr>
        <w:t>FRANÇOIS (2015). Lettre Encyclique Laudato Si’. Vatican.</w:t>
      </w:r>
    </w:p>
    <w:p>
      <w:pPr>
        <w:spacing w:after="80" w:line="240" w:lineRule="auto"/>
        <w:ind w:hanging="720" w:left="720"/>
      </w:pPr>
      <w:r>
        <w:rPr>
          <w:rFonts w:ascii="Liberation Serif" w:hAnsi="Liberation Serif" w:cs="Liberation Serif"/>
          <w:b w:val="0"/>
          <w:i w:val="0"/>
          <w:color w:val="333333"/>
          <w:sz w:val="20"/>
        </w:rPr>
        <w:t>FRANÇOIS (2020). Lettre Encyclique Fratelli Tutti. Vatican.</w:t>
      </w:r>
    </w:p>
    <w:p>
      <w:pPr>
        <w:spacing w:after="80" w:line="240" w:lineRule="auto"/>
        <w:ind w:hanging="720" w:left="720"/>
      </w:pPr>
      <w:r>
        <w:rPr>
          <w:rFonts w:ascii="Liberation Serif" w:hAnsi="Liberation Serif" w:cs="Liberation Serif"/>
          <w:b w:val="0"/>
          <w:i w:val="0"/>
          <w:color w:val="333333"/>
          <w:sz w:val="20"/>
        </w:rPr>
        <w:t>ABADI, M., Chu, A., Goodfellow, I., McMahan, H.B., Mironov, I., Talwar, K. et Zhang, L. (2016). Deep Learning with Differential Privacy. CCS 2016.</w:t>
      </w:r>
    </w:p>
    <w:sectPr w:rsidR="00FC693F" w:rsidRPr="0006063C" w:rsidSect="00034616">
      <w:headerReference w:type="default" r:id="rId9"/>
      <w:footerReference w:type="default" r:id="rId10"/>
      <w:pgSz w:w="11906" w:h="16838"/>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fldChar w:fldCharType="begin"/>
    <w:instrText xml:space="preserve"> PAGE </w:instrText>
    <w:fldChar w:fldCharType="end"/>
    <w:r>
      <w:rPr>
        <w:rFonts w:ascii="Liberation Serif" w:hAnsi="Liberation Serif"/>
        <w:color w:val="666666"/>
        <w:sz w:val="18"/>
      </w:r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Liberation Serif" w:hAnsi="Liberation Serif" w:cs="Liberation Serif"/>
        <w:b w:val="0"/>
        <w:i/>
        <w:color w:val="666666"/>
        <w:sz w:val="18"/>
      </w:rPr>
      <w:t>Ankh AI vs Magnifica Humanitas — Analyse Comparative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jc w:val="both"/>
    </w:pPr>
    <w:rPr>
      <w:rFonts w:ascii="Liberation Serif" w:hAnsi="Liberation Serif"/>
      <w:color w:val="333333"/>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40" w:line="360" w:lineRule="auto"/>
      <w:outlineLvl w:val="0"/>
    </w:pPr>
    <w:rPr>
      <w:rFonts w:asciiTheme="majorHAnsi" w:eastAsiaTheme="majorEastAsia" w:hAnsiTheme="majorHAnsi" w:cstheme="majorBidi" w:ascii="Liberation Sans" w:hAnsi="Liberation Sans"/>
      <w:b/>
      <w:bCs/>
      <w:color w:val="1B3A5C"/>
      <w:sz w:val="32"/>
      <w:szCs w:val="28"/>
    </w:rPr>
  </w:style>
  <w:style w:type="paragraph" w:styleId="Heading2">
    <w:name w:val="heading 2"/>
    <w:basedOn w:val="Normal"/>
    <w:next w:val="Normal"/>
    <w:link w:val="Heading2Char"/>
    <w:uiPriority w:val="9"/>
    <w:unhideWhenUsed/>
    <w:qFormat/>
    <w:rsid w:val="00FC693F"/>
    <w:pPr>
      <w:keepNext/>
      <w:keepLines/>
      <w:spacing w:before="360" w:after="160" w:line="360" w:lineRule="auto"/>
      <w:outlineLvl w:val="1"/>
    </w:pPr>
    <w:rPr>
      <w:rFonts w:asciiTheme="majorHAnsi" w:eastAsiaTheme="majorEastAsia" w:hAnsiTheme="majorHAnsi" w:cstheme="majorBidi" w:ascii="Liberation Sans" w:hAnsi="Liberation Sans"/>
      <w:b/>
      <w:bCs/>
      <w:color w:val="1B3A5C"/>
      <w:sz w:val="28"/>
      <w:szCs w:val="26"/>
    </w:rPr>
  </w:style>
  <w:style w:type="paragraph" w:styleId="Heading3">
    <w:name w:val="heading 3"/>
    <w:basedOn w:val="Normal"/>
    <w:next w:val="Normal"/>
    <w:link w:val="Heading3Char"/>
    <w:uiPriority w:val="9"/>
    <w:unhideWhenUsed/>
    <w:qFormat/>
    <w:rsid w:val="00FC693F"/>
    <w:pPr>
      <w:keepNext/>
      <w:keepLines/>
      <w:spacing w:before="240" w:after="120" w:line="360" w:lineRule="auto"/>
      <w:outlineLvl w:val="2"/>
    </w:pPr>
    <w:rPr>
      <w:rFonts w:asciiTheme="majorHAnsi" w:eastAsiaTheme="majorEastAsia" w:hAnsiTheme="majorHAnsi" w:cstheme="majorBidi" w:ascii="Liberation Sans" w:hAnsi="Liberation Sans"/>
      <w:b/>
      <w:bCs/>
      <w:color w:val="1B3A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